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5804D8" w:rsidP="00954504">
            <w:pPr>
              <w:autoSpaceDE w:val="0"/>
              <w:autoSpaceDN w:val="0"/>
              <w:adjustRightInd w:val="0"/>
              <w:spacing w:line="240" w:lineRule="auto"/>
              <w:rPr>
                <w:rFonts w:cs="Arial"/>
                <w:color w:val="0070C0"/>
                <w:szCs w:val="20"/>
              </w:rPr>
            </w:pPr>
            <w:r>
              <w:rPr>
                <w:rFonts w:cs="Arial"/>
                <w:color w:val="0070C0"/>
                <w:szCs w:val="20"/>
              </w:rPr>
              <w:t>Mads Schjøtt-Kristensen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64570E" w:rsidP="00BC41A9">
            <w:pPr>
              <w:rPr>
                <w:rFonts w:cs="Arial"/>
                <w:color w:val="0070C0"/>
              </w:rPr>
            </w:pPr>
            <w:r>
              <w:rPr>
                <w:rFonts w:cs="Arial"/>
                <w:color w:val="0070C0"/>
              </w:rPr>
              <w:t>5</w:t>
            </w:r>
            <w:r w:rsidR="000D0161">
              <w:rPr>
                <w:rFonts w:cs="Arial"/>
                <w:color w:val="0070C0"/>
              </w:rPr>
              <w:t>.</w:t>
            </w:r>
            <w:r>
              <w:rPr>
                <w:rFonts w:cs="Arial"/>
                <w:color w:val="0070C0"/>
              </w:rPr>
              <w:t>3</w:t>
            </w:r>
            <w:r w:rsidR="00BC41A9">
              <w:rPr>
                <w:rFonts w:cs="Arial"/>
                <w:color w:val="0070C0"/>
              </w:rPr>
              <w:t>.</w:t>
            </w:r>
            <w:r w:rsidR="005E58A4" w:rsidRPr="0068476D">
              <w:rPr>
                <w:rFonts w:cs="Arial"/>
                <w:color w:val="0070C0"/>
              </w:rPr>
              <w:t>201</w:t>
            </w:r>
            <w:r w:rsidR="005804D8">
              <w:rPr>
                <w:rFonts w:cs="Arial"/>
                <w:color w:val="0070C0"/>
              </w:rPr>
              <w:t>8</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E777E4" w:rsidP="0089764F">
            <w:pPr>
              <w:rPr>
                <w:rFonts w:cs="Arial"/>
                <w:color w:val="0070C0"/>
              </w:rPr>
            </w:pPr>
            <w:r>
              <w:rPr>
                <w:rFonts w:cs="Arial"/>
                <w:color w:val="0070C0"/>
              </w:rPr>
              <w:t>Vesterparken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781A38">
              <w:rPr>
                <w:rFonts w:cs="Arial"/>
              </w:rPr>
              <w:t>0</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1818771035"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1818771035"/>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Pr="00181382" w:rsidRDefault="00B93BBA" w:rsidP="002F1E97">
            <w:pPr>
              <w:pStyle w:val="Overskrift1"/>
              <w:numPr>
                <w:ilvl w:val="2"/>
                <w:numId w:val="1"/>
              </w:numPr>
              <w:rPr>
                <w:rFonts w:ascii="Arial" w:hAnsi="Arial" w:cs="Arial"/>
                <w:sz w:val="22"/>
                <w:szCs w:val="22"/>
              </w:rPr>
            </w:pPr>
            <w:r w:rsidRPr="00181382">
              <w:rPr>
                <w:rFonts w:ascii="Arial" w:hAnsi="Arial" w:cs="Arial"/>
                <w:sz w:val="22"/>
                <w:szCs w:val="22"/>
              </w:rPr>
              <w:t xml:space="preserve">Opgaven omfatter teknisk rådgivning og bistand i </w:t>
            </w:r>
            <w:r w:rsidR="007D72AE" w:rsidRPr="00181382">
              <w:rPr>
                <w:rFonts w:ascii="Arial" w:hAnsi="Arial" w:cs="Arial"/>
                <w:sz w:val="22"/>
                <w:szCs w:val="22"/>
              </w:rPr>
              <w:t>forbindelse med</w:t>
            </w:r>
            <w:r w:rsidR="002F1E97" w:rsidRPr="00181382">
              <w:rPr>
                <w:rFonts w:ascii="Arial" w:hAnsi="Arial" w:cs="Arial"/>
                <w:sz w:val="22"/>
                <w:szCs w:val="22"/>
              </w:rPr>
              <w:t>:</w:t>
            </w:r>
          </w:p>
          <w:p w:rsidR="002F1E97" w:rsidRPr="00181382" w:rsidRDefault="002F1E97" w:rsidP="002F1E97">
            <w:pPr>
              <w:rPr>
                <w:sz w:val="22"/>
                <w:szCs w:val="22"/>
                <w:lang w:eastAsia="ar-SA"/>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Opgaven omfatter teknisk rådgivning og bistand i forbindelse med, opførelsen af en ny daginstitution til 80 børnehavebørn på i alt 640 m². Børnehaven skal opføres på samme matrikel som den eksisterende børnehave, men med en ny placering på matriklen, placeringen er endnu ikke bestemt, og dette vil være en del af den indledende fase at beslutte.</w:t>
            </w:r>
          </w:p>
          <w:p w:rsidR="00181382" w:rsidRPr="00181382" w:rsidRDefault="00181382" w:rsidP="00181382">
            <w:pPr>
              <w:keepNext/>
              <w:spacing w:line="240" w:lineRule="auto"/>
              <w:outlineLvl w:val="0"/>
              <w:rPr>
                <w:rFonts w:cs="Arial"/>
                <w:sz w:val="22"/>
                <w:szCs w:val="22"/>
              </w:rPr>
            </w:pPr>
            <w:r w:rsidRPr="00181382">
              <w:rPr>
                <w:rFonts w:cs="Arial"/>
                <w:sz w:val="22"/>
                <w:szCs w:val="22"/>
              </w:rPr>
              <w:t>Der skal etableres en ny parkeringsplads i tilknytning til den nye børnehave, og legepladsen skal tilpasses den nye børnehave.</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Hættegården er beliggende på Hestehavevej 1b, 5750 Ringe i landzone, matrikel 3b.</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Den eksisterende børnehave på matriklen skal ikke nedbrydes, da man vil forsøge at sælge den eksisterende børnehave.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sz w:val="22"/>
                <w:szCs w:val="22"/>
              </w:rPr>
            </w:pPr>
            <w:r w:rsidRPr="00181382">
              <w:rPr>
                <w:rFonts w:cs="Arial"/>
                <w:sz w:val="22"/>
                <w:szCs w:val="22"/>
              </w:rPr>
              <w:t>Der skal bygges</w:t>
            </w:r>
            <w:r w:rsidRPr="00181382">
              <w:rPr>
                <w:sz w:val="22"/>
                <w:szCs w:val="22"/>
              </w:rPr>
              <w:t xml:space="preserve"> med stort fokus på økonomien, i materialer som holder, med lav vedligeholdelse og integration af miljø- og energivenlige løsninger.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Der skal lægges vægt på, at den nye bygning udføres ud fra tanken om en høj arealoptimering, således, at kvadratmeterne bliver udnyttet optimalt, uden overflødig spildplads. </w:t>
            </w:r>
          </w:p>
          <w:p w:rsidR="00181382" w:rsidRPr="00181382" w:rsidRDefault="00181382" w:rsidP="00181382">
            <w:pPr>
              <w:keepNext/>
              <w:spacing w:line="240" w:lineRule="auto"/>
              <w:outlineLvl w:val="0"/>
              <w:rPr>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En bred og stor brugerinddragelse med flere workshops er ligeledes et tydeligt opdrag.</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Det er meget vigtigt, at bygningens rum og arealer bliver så fleksible og multifunktionelle som mulig, så de i fremtiden vil kunne bruges til både børnehave og vuggestuebørn. </w:t>
            </w:r>
          </w:p>
          <w:p w:rsidR="00181382" w:rsidRPr="00181382" w:rsidRDefault="00181382" w:rsidP="00181382">
            <w:pPr>
              <w:keepNext/>
              <w:spacing w:line="240" w:lineRule="auto"/>
              <w:outlineLvl w:val="0"/>
              <w:rPr>
                <w:rFonts w:cs="Arial"/>
                <w:sz w:val="22"/>
                <w:szCs w:val="22"/>
              </w:rPr>
            </w:pPr>
          </w:p>
          <w:p w:rsidR="00181382" w:rsidRPr="00181382" w:rsidRDefault="00181382" w:rsidP="00181382">
            <w:pPr>
              <w:keepNext/>
              <w:spacing w:line="240" w:lineRule="auto"/>
              <w:outlineLvl w:val="0"/>
              <w:rPr>
                <w:rFonts w:cs="Arial"/>
                <w:sz w:val="22"/>
                <w:szCs w:val="22"/>
              </w:rPr>
            </w:pPr>
            <w:r w:rsidRPr="00181382">
              <w:rPr>
                <w:rFonts w:cs="Arial"/>
                <w:sz w:val="22"/>
                <w:szCs w:val="22"/>
              </w:rPr>
              <w:t xml:space="preserve">Projektet skal indeholde fuld koordinering af bygherreleverancen som indeholder ADK, AIA og ABA, der skal ikke udføres projektering af denne bygherre leverance. </w:t>
            </w:r>
          </w:p>
          <w:p w:rsidR="00BC41A9" w:rsidRDefault="00181382" w:rsidP="00D65704">
            <w:pPr>
              <w:keepNext/>
              <w:spacing w:line="240" w:lineRule="auto"/>
              <w:outlineLvl w:val="0"/>
              <w:rPr>
                <w:rFonts w:cs="Arial"/>
                <w:sz w:val="22"/>
                <w:szCs w:val="22"/>
              </w:rPr>
            </w:pPr>
            <w:r w:rsidRPr="00181382">
              <w:rPr>
                <w:rFonts w:cs="Arial"/>
                <w:sz w:val="22"/>
                <w:szCs w:val="22"/>
              </w:rPr>
              <w:t>Der skal indhentes tilbud, deltagelse og styring af møder med brugerne omkring ADK samt tilsyn på udførelsen af ADK, AIA og ABA.</w:t>
            </w:r>
          </w:p>
          <w:p w:rsidR="00D65704" w:rsidRPr="00181382" w:rsidRDefault="00D65704" w:rsidP="00BC41A9">
            <w:pPr>
              <w:rPr>
                <w:rFonts w:cs="Arial"/>
                <w:color w:val="0070C0"/>
                <w:sz w:val="22"/>
                <w:szCs w:val="22"/>
              </w:rPr>
            </w:pPr>
          </w:p>
          <w:p w:rsidR="0054576B" w:rsidRDefault="00BC41A9" w:rsidP="00BC41A9">
            <w:pPr>
              <w:rPr>
                <w:rFonts w:cs="Arial"/>
                <w:b/>
                <w:sz w:val="22"/>
                <w:szCs w:val="22"/>
              </w:rPr>
            </w:pPr>
            <w:r w:rsidRPr="00181382">
              <w:rPr>
                <w:rFonts w:cs="Arial"/>
                <w:b/>
                <w:sz w:val="22"/>
                <w:szCs w:val="22"/>
              </w:rPr>
              <w:t>Arbejdet udbydes i fagentrepriser</w:t>
            </w:r>
          </w:p>
          <w:p w:rsidR="00D65704" w:rsidRPr="00181382" w:rsidRDefault="00D65704" w:rsidP="00BC41A9">
            <w:pPr>
              <w:rPr>
                <w:rFonts w:cs="Arial"/>
                <w:b/>
                <w:sz w:val="22"/>
                <w:szCs w:val="22"/>
              </w:rPr>
            </w:pPr>
          </w:p>
          <w:p w:rsidR="0054576B" w:rsidRPr="00181382"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945038796"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945038796"/>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941187325" w:edGrp="everyone"/>
            <w:r w:rsidRPr="0040260C">
              <w:rPr>
                <w:color w:val="FF0000"/>
                <w:sz w:val="22"/>
                <w:szCs w:val="22"/>
                <w:lang w:eastAsia="ar-SA"/>
              </w:rPr>
              <w:t>Firma, ved Navn</w:t>
            </w:r>
            <w:r w:rsidRPr="0040260C">
              <w:rPr>
                <w:color w:val="FF0000"/>
                <w:sz w:val="22"/>
                <w:szCs w:val="22"/>
                <w:lang w:eastAsia="ar-SA"/>
              </w:rPr>
              <w:tab/>
              <w:t>:</w:t>
            </w:r>
          </w:p>
          <w:permEnd w:id="1941187325"/>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1915356666" w:edGrp="everyone"/>
            <w:r w:rsidRPr="00BC41A9">
              <w:rPr>
                <w:sz w:val="22"/>
                <w:szCs w:val="22"/>
                <w:lang w:eastAsia="ar-SA"/>
              </w:rPr>
              <w:t>Som Sagsarkitekt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Som Sags</w:t>
            </w:r>
            <w:r>
              <w:rPr>
                <w:sz w:val="22"/>
                <w:szCs w:val="22"/>
                <w:lang w:eastAsia="ar-SA"/>
              </w:rPr>
              <w:t>ingeniør</w:t>
            </w:r>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1915356666"/>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2" w:name="_Toc378067712"/>
      <w:r w:rsidRPr="00FB6BE2">
        <w:rPr>
          <w:rFonts w:ascii="Arial" w:hAnsi="Arial" w:cs="Arial"/>
          <w:b/>
          <w:sz w:val="32"/>
        </w:rPr>
        <w:lastRenderedPageBreak/>
        <w:t xml:space="preserve">3.0 </w:t>
      </w:r>
      <w:r w:rsidR="009854D2" w:rsidRPr="00CB0B37">
        <w:rPr>
          <w:rFonts w:ascii="Arial" w:hAnsi="Arial" w:cs="Arial"/>
          <w:b/>
          <w:sz w:val="32"/>
        </w:rPr>
        <w:t>Aftalegrundlag</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3" w:name="_Toc378067713"/>
      <w:r w:rsidRPr="00CB0B37">
        <w:rPr>
          <w:rFonts w:cs="Arial"/>
          <w:b/>
          <w:sz w:val="32"/>
        </w:rPr>
        <w:t>4.0 Rådgiverens ydelser</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4" w:name="_Toc378067714"/>
      <w:r w:rsidRPr="00CB0B37">
        <w:rPr>
          <w:rFonts w:ascii="Arial" w:hAnsi="Arial" w:cs="Arial"/>
          <w:b/>
          <w:sz w:val="32"/>
        </w:rPr>
        <w:t>5.0 Klientens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5" w:name="_Toc378067715"/>
      <w:r w:rsidRPr="00CB0B37">
        <w:rPr>
          <w:rFonts w:ascii="Arial" w:hAnsi="Arial" w:cs="Arial"/>
          <w:b/>
          <w:sz w:val="32"/>
        </w:rPr>
        <w:t>6.0 Tidsfrister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6" w:name="_Toc378067716"/>
      <w:r>
        <w:rPr>
          <w:rFonts w:ascii="Arial" w:hAnsi="Arial" w:cs="Arial"/>
          <w:b/>
          <w:sz w:val="32"/>
        </w:rPr>
        <w:lastRenderedPageBreak/>
        <w:t>7</w:t>
      </w:r>
      <w:r w:rsidRPr="004E3CD1">
        <w:rPr>
          <w:rFonts w:ascii="Arial" w:hAnsi="Arial" w:cs="Arial"/>
          <w:b/>
          <w:sz w:val="32"/>
        </w:rPr>
        <w:t xml:space="preserve">.0 </w:t>
      </w:r>
      <w:r>
        <w:rPr>
          <w:rFonts w:ascii="Arial" w:hAnsi="Arial" w:cs="Arial"/>
          <w:b/>
          <w:sz w:val="32"/>
        </w:rPr>
        <w:t>Økonomisk grundlag for opgavens løsning</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E777E4">
              <w:rPr>
                <w:rFonts w:ascii="Arial" w:hAnsi="Arial" w:cs="Arial"/>
                <w:sz w:val="22"/>
                <w:szCs w:val="22"/>
              </w:rPr>
              <w:t>,</w:t>
            </w:r>
            <w:r w:rsidR="002D23E0">
              <w:rPr>
                <w:rFonts w:ascii="Arial" w:hAnsi="Arial" w:cs="Arial"/>
                <w:sz w:val="22"/>
                <w:szCs w:val="22"/>
              </w:rPr>
              <w:t xml:space="preserve"> </w:t>
            </w:r>
            <w:r w:rsidR="00AE224C">
              <w:rPr>
                <w:rFonts w:ascii="Arial" w:hAnsi="Arial" w:cs="Arial"/>
                <w:sz w:val="22"/>
                <w:szCs w:val="22"/>
              </w:rPr>
              <w:t xml:space="preserve">uforudsete udgifter </w:t>
            </w:r>
            <w:r w:rsidR="00E777E4">
              <w:rPr>
                <w:rFonts w:ascii="Arial" w:hAnsi="Arial" w:cs="Arial"/>
                <w:sz w:val="22"/>
                <w:szCs w:val="22"/>
              </w:rPr>
              <w:t xml:space="preserve">samt løst inventar </w:t>
            </w:r>
            <w:r w:rsidR="00AE224C">
              <w:rPr>
                <w:rFonts w:ascii="Arial" w:hAnsi="Arial" w:cs="Arial"/>
                <w:sz w:val="22"/>
                <w:szCs w:val="22"/>
              </w:rPr>
              <w:t>er</w:t>
            </w:r>
            <w:r w:rsidRPr="00CB2177">
              <w:rPr>
                <w:rFonts w:ascii="Arial" w:hAnsi="Arial" w:cs="Arial"/>
                <w:color w:val="FF0000"/>
                <w:sz w:val="22"/>
                <w:szCs w:val="22"/>
              </w:rPr>
              <w:t xml:space="preserve"> </w:t>
            </w:r>
            <w:r w:rsidR="00A14FB4" w:rsidRPr="00181382">
              <w:rPr>
                <w:rFonts w:ascii="Arial" w:hAnsi="Arial" w:cs="Arial"/>
                <w:b/>
                <w:sz w:val="22"/>
                <w:szCs w:val="22"/>
              </w:rPr>
              <w:t>kr</w:t>
            </w:r>
            <w:r w:rsidRPr="00181382">
              <w:rPr>
                <w:rFonts w:ascii="Arial" w:hAnsi="Arial" w:cs="Arial"/>
                <w:b/>
                <w:sz w:val="22"/>
                <w:szCs w:val="22"/>
              </w:rPr>
              <w:t xml:space="preserve">. </w:t>
            </w:r>
            <w:r w:rsidR="00E777E4">
              <w:rPr>
                <w:rFonts w:ascii="Arial" w:hAnsi="Arial" w:cs="Arial"/>
                <w:b/>
                <w:sz w:val="22"/>
                <w:szCs w:val="22"/>
              </w:rPr>
              <w:t>6</w:t>
            </w:r>
            <w:r w:rsidR="000D0161" w:rsidRPr="00181382">
              <w:rPr>
                <w:rFonts w:ascii="Arial" w:hAnsi="Arial" w:cs="Arial"/>
                <w:b/>
                <w:sz w:val="22"/>
                <w:szCs w:val="22"/>
              </w:rPr>
              <w:t>.</w:t>
            </w:r>
            <w:r w:rsidR="004937E3">
              <w:rPr>
                <w:rFonts w:ascii="Arial" w:hAnsi="Arial" w:cs="Arial"/>
                <w:b/>
                <w:sz w:val="22"/>
                <w:szCs w:val="22"/>
              </w:rPr>
              <w:t>7</w:t>
            </w:r>
            <w:r w:rsidR="000E1682" w:rsidRPr="00181382">
              <w:rPr>
                <w:rFonts w:ascii="Arial" w:hAnsi="Arial" w:cs="Arial"/>
                <w:b/>
                <w:sz w:val="22"/>
                <w:szCs w:val="22"/>
              </w:rPr>
              <w:t>00</w:t>
            </w:r>
            <w:r w:rsidR="00C30D3D" w:rsidRPr="00181382">
              <w:rPr>
                <w:rFonts w:ascii="Arial" w:hAnsi="Arial" w:cs="Arial"/>
                <w:b/>
                <w:sz w:val="22"/>
                <w:szCs w:val="22"/>
              </w:rPr>
              <w:t>.000</w:t>
            </w:r>
            <w:r w:rsidRPr="00181382">
              <w:rPr>
                <w:rFonts w:ascii="Arial" w:hAnsi="Arial" w:cs="Arial"/>
                <w:b/>
                <w:sz w:val="22"/>
                <w:szCs w:val="22"/>
              </w:rPr>
              <w:t xml:space="preserve"> </w:t>
            </w:r>
            <w:r w:rsidR="00F92B10" w:rsidRPr="00181382">
              <w:rPr>
                <w:rFonts w:ascii="Arial" w:hAnsi="Arial" w:cs="Arial"/>
                <w:b/>
                <w:sz w:val="22"/>
                <w:szCs w:val="22"/>
              </w:rPr>
              <w:t xml:space="preserve">er </w:t>
            </w:r>
            <w:r w:rsidRPr="00181382">
              <w:rPr>
                <w:rFonts w:ascii="Arial" w:hAnsi="Arial" w:cs="Arial"/>
                <w:b/>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C41A9" w:rsidRPr="00E777E4" w:rsidRDefault="00963559" w:rsidP="00E777E4">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40260C" w:rsidRDefault="00BC41A9" w:rsidP="00627510">
            <w:pPr>
              <w:ind w:left="720"/>
              <w:rPr>
                <w:rFonts w:cs="Arial"/>
                <w:sz w:val="22"/>
                <w:szCs w:val="22"/>
              </w:rPr>
            </w:pPr>
          </w:p>
        </w:tc>
      </w:tr>
    </w:tbl>
    <w:p w:rsidR="00A80AF1" w:rsidRDefault="00A80AF1" w:rsidP="009854D2">
      <w:pPr>
        <w:pStyle w:val="Overskrift1"/>
        <w:tabs>
          <w:tab w:val="left" w:pos="0"/>
        </w:tabs>
        <w:rPr>
          <w:rFonts w:ascii="Arial" w:hAnsi="Arial" w:cs="Arial"/>
          <w:b/>
          <w:sz w:val="32"/>
        </w:rPr>
      </w:pPr>
      <w:bookmarkStart w:id="7"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341720427" w:edGrp="everyone"/>
            <w:r w:rsidR="00917145">
              <w:rPr>
                <w:rFonts w:ascii="Arial" w:hAnsi="Arial" w:cs="Arial"/>
                <w:sz w:val="22"/>
                <w:szCs w:val="22"/>
              </w:rPr>
              <w:t xml:space="preserve">                       </w:t>
            </w:r>
          </w:p>
          <w:permEnd w:id="1341720427"/>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Klienten skal godkende arbejdet efter afslutning af hver enkelt fase, idet næste fase først kan iværksættes efter godkendelse. Klienten kan afbestille yderligere ydelser efter afslutningen af hver enkelt fase, og rådgiveren modtager i så fald kun betaling 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 xml:space="preserve">Tillægsydelser, der aftales i medfør af pkt. 4.2 betales efter regning på grundlag </w:t>
            </w:r>
            <w:r w:rsidR="00627510">
              <w:rPr>
                <w:sz w:val="22"/>
                <w:szCs w:val="22"/>
                <w:lang w:eastAsia="ar-SA"/>
              </w:rPr>
              <w:t xml:space="preserve">af </w:t>
            </w:r>
            <w:r w:rsidRPr="0054576B">
              <w:rPr>
                <w:sz w:val="22"/>
                <w:szCs w:val="22"/>
                <w:lang w:eastAsia="ar-SA"/>
              </w:rPr>
              <w:t>den procentvise honorarsats ift. indgået kontraktbeløb</w:t>
            </w:r>
            <w:r w:rsidR="00627510">
              <w:rPr>
                <w:sz w:val="22"/>
                <w:szCs w:val="22"/>
                <w:lang w:eastAsia="ar-SA"/>
              </w:rPr>
              <w:t>, d</w:t>
            </w:r>
            <w:r w:rsidR="00393363" w:rsidRPr="0054576B">
              <w:rPr>
                <w:sz w:val="22"/>
                <w:szCs w:val="22"/>
                <w:lang w:eastAsia="ar-SA"/>
              </w:rPr>
              <w:t>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8" w:name="_Toc378067718"/>
      <w:r>
        <w:rPr>
          <w:rFonts w:ascii="Arial" w:hAnsi="Arial" w:cs="Arial"/>
          <w:b/>
          <w:sz w:val="32"/>
        </w:rPr>
        <w:lastRenderedPageBreak/>
        <w:t>9</w:t>
      </w:r>
      <w:r w:rsidRPr="004E3CD1">
        <w:rPr>
          <w:rFonts w:ascii="Arial" w:hAnsi="Arial" w:cs="Arial"/>
          <w:b/>
          <w:sz w:val="32"/>
        </w:rPr>
        <w:t xml:space="preserve">.0 </w:t>
      </w:r>
      <w:r>
        <w:rPr>
          <w:rFonts w:ascii="Arial" w:hAnsi="Arial" w:cs="Arial"/>
          <w:b/>
          <w:sz w:val="32"/>
        </w:rPr>
        <w:t>Udlæg</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9"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Bygherren er omfattet af forvaltningsloven og offentlighedsloven, der kan berettige parter og andre til at få aktindsigt. Bygherren meddeler dog normalt ikke aktindsigt i følsomme oplysninger, uden forinden at have givet den, som oplysningen vedrører, 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0" w:name="_Toc378067720"/>
      <w:r>
        <w:rPr>
          <w:rFonts w:ascii="Arial" w:hAnsi="Arial" w:cs="Arial"/>
          <w:b/>
          <w:sz w:val="32"/>
        </w:rPr>
        <w:lastRenderedPageBreak/>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 begrænset til den under pkt. 1</w:t>
            </w:r>
            <w:r w:rsidR="00E777E4">
              <w:rPr>
                <w:rFonts w:ascii="Arial" w:hAnsi="Arial" w:cs="Arial"/>
                <w:sz w:val="22"/>
                <w:szCs w:val="22"/>
              </w:rPr>
              <w:t>3</w:t>
            </w:r>
            <w:r w:rsidRPr="0040260C">
              <w:rPr>
                <w:rFonts w:ascii="Arial" w:hAnsi="Arial" w:cs="Arial"/>
                <w:sz w:val="22"/>
                <w:szCs w:val="22"/>
              </w:rPr>
              <w:t xml:space="preserve">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1"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2"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3"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lastRenderedPageBreak/>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EF3D31" w:rsidRDefault="00E777E4" w:rsidP="00EF3D31">
            <w:pPr>
              <w:pStyle w:val="Listeafsnit"/>
              <w:numPr>
                <w:ilvl w:val="0"/>
                <w:numId w:val="30"/>
              </w:numPr>
              <w:tabs>
                <w:tab w:val="left" w:pos="629"/>
              </w:tabs>
              <w:rPr>
                <w:sz w:val="22"/>
                <w:szCs w:val="22"/>
                <w:lang w:eastAsia="ar-SA"/>
              </w:rPr>
            </w:pPr>
            <w:r>
              <w:rPr>
                <w:sz w:val="22"/>
                <w:szCs w:val="22"/>
                <w:lang w:eastAsia="ar-SA"/>
              </w:rPr>
              <w:t>Plantegning</w:t>
            </w:r>
            <w:r w:rsidR="004937E3">
              <w:rPr>
                <w:sz w:val="22"/>
                <w:szCs w:val="22"/>
                <w:lang w:eastAsia="ar-SA"/>
              </w:rPr>
              <w:t>er</w:t>
            </w:r>
          </w:p>
          <w:p w:rsidR="004937E3" w:rsidRPr="009227C1" w:rsidRDefault="004937E3" w:rsidP="009227C1">
            <w:pPr>
              <w:pStyle w:val="Listeafsnit"/>
              <w:numPr>
                <w:ilvl w:val="0"/>
                <w:numId w:val="30"/>
              </w:numPr>
              <w:tabs>
                <w:tab w:val="left" w:pos="629"/>
              </w:tabs>
              <w:rPr>
                <w:sz w:val="22"/>
                <w:szCs w:val="22"/>
                <w:lang w:eastAsia="ar-SA"/>
              </w:rPr>
            </w:pPr>
            <w:r>
              <w:rPr>
                <w:sz w:val="22"/>
                <w:szCs w:val="22"/>
                <w:lang w:eastAsia="ar-SA"/>
              </w:rPr>
              <w:t>Oversigtsbillede</w:t>
            </w:r>
          </w:p>
          <w:p w:rsidR="00181382" w:rsidRPr="00BD36C6" w:rsidRDefault="00181382" w:rsidP="00181382">
            <w:pPr>
              <w:pStyle w:val="Listeafsnit"/>
              <w:numPr>
                <w:ilvl w:val="0"/>
                <w:numId w:val="30"/>
              </w:numPr>
              <w:tabs>
                <w:tab w:val="left" w:pos="629"/>
              </w:tabs>
              <w:rPr>
                <w:sz w:val="22"/>
                <w:szCs w:val="22"/>
                <w:lang w:eastAsia="ar-SA"/>
              </w:rPr>
            </w:pPr>
            <w:r w:rsidRPr="00181382">
              <w:rPr>
                <w:sz w:val="22"/>
                <w:szCs w:val="22"/>
                <w:lang w:eastAsia="ar-SA"/>
              </w:rPr>
              <w:t>Pædagogiskvision</w:t>
            </w:r>
            <w:r>
              <w:rPr>
                <w:sz w:val="22"/>
                <w:szCs w:val="22"/>
                <w:lang w:eastAsia="ar-SA"/>
              </w:rPr>
              <w:t xml:space="preserve"> </w:t>
            </w:r>
            <w:r w:rsidR="00E777E4">
              <w:rPr>
                <w:sz w:val="22"/>
                <w:szCs w:val="22"/>
                <w:lang w:eastAsia="ar-SA"/>
              </w:rPr>
              <w:t>Vesterparken</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D86C95" w:rsidRPr="0040260C" w:rsidRDefault="00D86C95" w:rsidP="005804D8">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181382" w:rsidP="00181382">
      <w:pPr>
        <w:pStyle w:val="Brdtekst21"/>
        <w:tabs>
          <w:tab w:val="left" w:pos="6384"/>
        </w:tabs>
        <w:jc w:val="both"/>
        <w:rPr>
          <w:rFonts w:ascii="Arial" w:hAnsi="Arial" w:cs="Arial"/>
        </w:rPr>
      </w:pPr>
      <w:r>
        <w:rPr>
          <w:rFonts w:ascii="Arial" w:hAnsi="Arial" w:cs="Arial"/>
        </w:rPr>
        <w:tab/>
      </w: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00181382">
              <w:rPr>
                <w:rFonts w:cs="Arial"/>
                <w:color w:val="000000"/>
                <w:sz w:val="24"/>
              </w:rPr>
              <w:t xml:space="preserve"> Bygherre afholder udgifter til geotekniske undersøgelser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E777E4"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54576B" w:rsidRPr="005A773B" w:rsidRDefault="00E777E4" w:rsidP="005804D8">
            <w:pPr>
              <w:keepNext/>
              <w:spacing w:line="240" w:lineRule="auto"/>
              <w:outlineLvl w:val="0"/>
              <w:rPr>
                <w:rFonts w:cs="Arial"/>
                <w:color w:val="000000"/>
                <w:sz w:val="24"/>
              </w:rPr>
            </w:pPr>
            <w:r>
              <w:rPr>
                <w:rFonts w:cs="Arial"/>
                <w:color w:val="000000"/>
                <w:sz w:val="24"/>
              </w:rPr>
              <w:t>Den bygherre bestilte kortlægning skal indarbejdes i projektet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w:t>
            </w:r>
            <w:r w:rsidR="00E777E4">
              <w:rPr>
                <w:rFonts w:cs="Arial"/>
                <w:i/>
                <w:color w:val="000000"/>
                <w:sz w:val="24"/>
              </w:rPr>
              <w:t>8</w:t>
            </w:r>
            <w:r w:rsidRPr="00C824FA">
              <w:rPr>
                <w:rFonts w:cs="Arial"/>
                <w:i/>
                <w:color w:val="000000"/>
                <w:sz w:val="24"/>
              </w:rPr>
              <w:t>'s krav - der skal i honoraret være indeholdt kontrol måling</w:t>
            </w:r>
            <w:r w:rsidR="005804D8">
              <w:rPr>
                <w:rFonts w:cs="Arial"/>
                <w:i/>
                <w:color w:val="000000"/>
                <w:sz w:val="24"/>
              </w:rPr>
              <w:t>er</w:t>
            </w:r>
            <w:r w:rsidRPr="00C824FA">
              <w:rPr>
                <w:rFonts w:cs="Arial"/>
                <w:i/>
                <w:color w:val="000000"/>
                <w:sz w:val="24"/>
              </w:rPr>
              <w:t xml:space="preserve"> af akustikken</w:t>
            </w:r>
            <w:r w:rsidR="005804D8">
              <w:rPr>
                <w:rFonts w:cs="Arial"/>
                <w:i/>
                <w:color w:val="000000"/>
                <w:sz w:val="24"/>
              </w:rPr>
              <w:t xml:space="preserve"> og luftlydsisolering</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sz w:val="24"/>
              </w:rPr>
            </w:pPr>
            <w:r>
              <w:rPr>
                <w:rFonts w:cs="Arial"/>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bookmarkStart w:id="14" w:name="_GoBack"/>
      <w:bookmarkEnd w:id="14"/>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E4" w:rsidRDefault="00E777E4">
      <w:r>
        <w:separator/>
      </w:r>
    </w:p>
  </w:endnote>
  <w:endnote w:type="continuationSeparator" w:id="0">
    <w:p w:rsidR="00E777E4" w:rsidRDefault="00E7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7E4" w:rsidRPr="00555B43" w:rsidRDefault="00E777E4"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9E13BA">
                            <w:rPr>
                              <w:rStyle w:val="Sidetal"/>
                              <w:noProof/>
                              <w:sz w:val="15"/>
                              <w:szCs w:val="15"/>
                            </w:rPr>
                            <w:t>12</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E777E4" w:rsidRPr="00555B43" w:rsidRDefault="00E777E4"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9E13BA">
                      <w:rPr>
                        <w:rStyle w:val="Sidetal"/>
                        <w:noProof/>
                        <w:sz w:val="15"/>
                        <w:szCs w:val="15"/>
                      </w:rPr>
                      <w:t>12</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E4" w:rsidRDefault="00E777E4">
      <w:r>
        <w:separator/>
      </w:r>
    </w:p>
  </w:footnote>
  <w:footnote w:type="continuationSeparator" w:id="0">
    <w:p w:rsidR="00E777E4" w:rsidRDefault="00E7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1"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5"/>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RG/YxOt7piTHBSRFQagSK/pV/y+BffiACcEmFCd1hSDtDvz8qqf/f8NQDGpBcGqTocUNb/jVuojxtQKDcMgGTw==" w:salt="s2qbPsB7s85qKyvMZcnd/A=="/>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46"/>
    <w:rsid w:val="00001968"/>
    <w:rsid w:val="00030C43"/>
    <w:rsid w:val="000A3C04"/>
    <w:rsid w:val="000A70D0"/>
    <w:rsid w:val="000B09A8"/>
    <w:rsid w:val="000D0161"/>
    <w:rsid w:val="000E1682"/>
    <w:rsid w:val="000E562C"/>
    <w:rsid w:val="000F5DC7"/>
    <w:rsid w:val="000F71D1"/>
    <w:rsid w:val="0012755F"/>
    <w:rsid w:val="00133A96"/>
    <w:rsid w:val="0014166C"/>
    <w:rsid w:val="001604E1"/>
    <w:rsid w:val="00181382"/>
    <w:rsid w:val="00196CB6"/>
    <w:rsid w:val="001A4F6B"/>
    <w:rsid w:val="001D7BA9"/>
    <w:rsid w:val="001E3F61"/>
    <w:rsid w:val="002025CF"/>
    <w:rsid w:val="00207268"/>
    <w:rsid w:val="002107DA"/>
    <w:rsid w:val="002120D2"/>
    <w:rsid w:val="00216133"/>
    <w:rsid w:val="00247948"/>
    <w:rsid w:val="00251E04"/>
    <w:rsid w:val="00262BE7"/>
    <w:rsid w:val="00270960"/>
    <w:rsid w:val="00281DAC"/>
    <w:rsid w:val="00295048"/>
    <w:rsid w:val="002B4181"/>
    <w:rsid w:val="002C12CC"/>
    <w:rsid w:val="002D23E0"/>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90D"/>
    <w:rsid w:val="00455EDA"/>
    <w:rsid w:val="0047176F"/>
    <w:rsid w:val="00480C75"/>
    <w:rsid w:val="004937E3"/>
    <w:rsid w:val="0049534C"/>
    <w:rsid w:val="004A2926"/>
    <w:rsid w:val="004A68AC"/>
    <w:rsid w:val="004B0F36"/>
    <w:rsid w:val="004D025C"/>
    <w:rsid w:val="004D7E9C"/>
    <w:rsid w:val="004F2F46"/>
    <w:rsid w:val="004F4FBE"/>
    <w:rsid w:val="00514997"/>
    <w:rsid w:val="0053300F"/>
    <w:rsid w:val="00534AC4"/>
    <w:rsid w:val="0054292B"/>
    <w:rsid w:val="005429B6"/>
    <w:rsid w:val="0054576B"/>
    <w:rsid w:val="00562A72"/>
    <w:rsid w:val="005722F0"/>
    <w:rsid w:val="0057621B"/>
    <w:rsid w:val="005804D8"/>
    <w:rsid w:val="00585DA9"/>
    <w:rsid w:val="005873F8"/>
    <w:rsid w:val="005A773B"/>
    <w:rsid w:val="005B20A0"/>
    <w:rsid w:val="005C7467"/>
    <w:rsid w:val="005D5F33"/>
    <w:rsid w:val="005E437E"/>
    <w:rsid w:val="005E493D"/>
    <w:rsid w:val="005E58A4"/>
    <w:rsid w:val="005F32BE"/>
    <w:rsid w:val="006218B7"/>
    <w:rsid w:val="00627510"/>
    <w:rsid w:val="00627607"/>
    <w:rsid w:val="0064570E"/>
    <w:rsid w:val="00646C75"/>
    <w:rsid w:val="006541B7"/>
    <w:rsid w:val="0068476D"/>
    <w:rsid w:val="00685EBD"/>
    <w:rsid w:val="00686708"/>
    <w:rsid w:val="006C01DE"/>
    <w:rsid w:val="006D7D3A"/>
    <w:rsid w:val="006F65CC"/>
    <w:rsid w:val="00781A38"/>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6B8"/>
    <w:rsid w:val="008C7DBB"/>
    <w:rsid w:val="008F49FD"/>
    <w:rsid w:val="0090400C"/>
    <w:rsid w:val="009049ED"/>
    <w:rsid w:val="00915BB0"/>
    <w:rsid w:val="00917145"/>
    <w:rsid w:val="00917872"/>
    <w:rsid w:val="00921282"/>
    <w:rsid w:val="009227C1"/>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E13BA"/>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3E9C"/>
    <w:rsid w:val="00B5510C"/>
    <w:rsid w:val="00B55D5A"/>
    <w:rsid w:val="00B7463B"/>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65704"/>
    <w:rsid w:val="00D735ED"/>
    <w:rsid w:val="00D86C95"/>
    <w:rsid w:val="00D93F9A"/>
    <w:rsid w:val="00D96366"/>
    <w:rsid w:val="00DA5643"/>
    <w:rsid w:val="00DB3D77"/>
    <w:rsid w:val="00DB678D"/>
    <w:rsid w:val="00DB67C3"/>
    <w:rsid w:val="00DD5453"/>
    <w:rsid w:val="00DE60BF"/>
    <w:rsid w:val="00DF46C2"/>
    <w:rsid w:val="00E43591"/>
    <w:rsid w:val="00E609BF"/>
    <w:rsid w:val="00E65598"/>
    <w:rsid w:val="00E777E4"/>
    <w:rsid w:val="00E80F7C"/>
    <w:rsid w:val="00EA6488"/>
    <w:rsid w:val="00EE6E1B"/>
    <w:rsid w:val="00EF3D31"/>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5B12C1"/>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445">
      <w:bodyDiv w:val="1"/>
      <w:marLeft w:val="0"/>
      <w:marRight w:val="0"/>
      <w:marTop w:val="0"/>
      <w:marBottom w:val="0"/>
      <w:divBdr>
        <w:top w:val="none" w:sz="0" w:space="0" w:color="auto"/>
        <w:left w:val="none" w:sz="0" w:space="0" w:color="auto"/>
        <w:bottom w:val="none" w:sz="0" w:space="0" w:color="auto"/>
        <w:right w:val="none" w:sz="0" w:space="0" w:color="auto"/>
      </w:divBdr>
    </w:div>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F699-D211-4767-9643-066E3511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2146</Words>
  <Characters>14154</Characters>
  <Application>Microsoft Office Word</Application>
  <DocSecurity>8</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Mads Schjøtt-Kristensen (mschj)</cp:lastModifiedBy>
  <cp:revision>18</cp:revision>
  <cp:lastPrinted>2017-11-06T07:11:00Z</cp:lastPrinted>
  <dcterms:created xsi:type="dcterms:W3CDTF">2017-11-06T11:05:00Z</dcterms:created>
  <dcterms:modified xsi:type="dcterms:W3CDTF">2018-03-05T12:53:00Z</dcterms:modified>
</cp:coreProperties>
</file>