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C24F0D">
      <w:pPr>
        <w:pStyle w:val="Ingenafstand"/>
        <w:rPr>
          <w:noProof/>
          <w:lang w:val="da-DK"/>
        </w:rPr>
      </w:pPr>
      <w:bookmarkStart w:id="0" w:name="s"/>
      <w:bookmarkStart w:id="1" w:name="_GoBack"/>
      <w:bookmarkEnd w:id="0"/>
      <w:bookmarkEnd w:id="1"/>
      <w:r w:rsidRPr="00EF6BC1">
        <w:rPr>
          <w:noProof/>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ftalen, herunder i tilfælde af delvis o</w:t>
      </w:r>
      <w:r w:rsidRPr="00707FA4">
        <w:rPr>
          <w:lang w:val="da-DK"/>
        </w:rPr>
        <w:t>p</w:t>
      </w:r>
      <w:r w:rsidRPr="00707FA4">
        <w:rPr>
          <w:lang w:val="da-DK"/>
        </w:rPr>
        <w:t>hævelse, er Køber berettiget til at foretage dækning</w:t>
      </w:r>
      <w:r w:rsidRPr="00707FA4">
        <w:rPr>
          <w:lang w:val="da-DK"/>
        </w:rPr>
        <w:t>s</w:t>
      </w:r>
      <w:r w:rsidRPr="00707FA4">
        <w:rPr>
          <w:lang w:val="da-DK"/>
        </w:rPr>
        <w:t xml:space="preserve">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lastRenderedPageBreak/>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24F0D">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24F0D">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C24F0D">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C24F0D"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C24F0D"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4F0D"/>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055"/>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Ingenafstand">
    <w:name w:val="No Spacing"/>
    <w:uiPriority w:val="1"/>
    <w:qFormat/>
    <w:rsid w:val="00C24F0D"/>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 w:type="paragraph" w:styleId="Ingenafstand">
    <w:name w:val="No Spacing"/>
    <w:uiPriority w:val="1"/>
    <w:qFormat/>
    <w:rsid w:val="00C24F0D"/>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92a7b62-18c2-4926-a891-55c0c57152a8"/>
    <ds:schemaRef ds:uri="http://schemas.microsoft.com/office/2006/metadata/properties"/>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203A08-F07E-43BA-8DA6-0F954020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63D33DCF</Template>
  <TotalTime>0</TotalTime>
  <Pages>8</Pages>
  <Words>5388</Words>
  <Characters>32872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2020-06-02T07:47:00Z</dcterms:created>
  <dcterms:modified xsi:type="dcterms:W3CDTF">2020-06-02T07:47:00Z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