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2C2B09" w:rsidTr="003F319A">
        <w:trPr>
          <w:cantSplit/>
          <w:trHeight w:val="2600"/>
        </w:trPr>
        <w:tc>
          <w:tcPr>
            <w:tcW w:w="7116" w:type="dxa"/>
          </w:tcPr>
          <w:p w:rsidR="007F73B3" w:rsidRPr="002C2B09" w:rsidRDefault="007F73B3" w:rsidP="002C2B09"/>
        </w:tc>
        <w:tc>
          <w:tcPr>
            <w:tcW w:w="1939" w:type="dxa"/>
          </w:tcPr>
          <w:p w:rsidR="005271D6" w:rsidRPr="002C2B09" w:rsidRDefault="005271D6" w:rsidP="00557A69"/>
        </w:tc>
      </w:tr>
      <w:tr w:rsidR="00541D1B" w:rsidRPr="002C2B09" w:rsidTr="003F319A">
        <w:trPr>
          <w:cantSplit/>
        </w:trPr>
        <w:tc>
          <w:tcPr>
            <w:tcW w:w="7116" w:type="dxa"/>
          </w:tcPr>
          <w:p w:rsidR="00541D1B" w:rsidRPr="002C2B09" w:rsidRDefault="002C2B09" w:rsidP="00541D1B">
            <w:pPr>
              <w:pStyle w:val="DocumentHeading"/>
            </w:pPr>
            <w:r>
              <w:t>Kravspecifikation</w:t>
            </w:r>
            <w:r w:rsidR="00D6123C">
              <w:t xml:space="preserve"> -</w:t>
            </w:r>
            <w:bookmarkStart w:id="0" w:name="_GoBack"/>
            <w:bookmarkEnd w:id="0"/>
            <w:r w:rsidR="00D6123C">
              <w:t xml:space="preserve"> Kontraktbilag 1</w:t>
            </w:r>
          </w:p>
          <w:p w:rsidR="00541D1B" w:rsidRPr="002C2B09" w:rsidRDefault="00541D1B" w:rsidP="00541D1B"/>
        </w:tc>
        <w:tc>
          <w:tcPr>
            <w:tcW w:w="1939" w:type="dxa"/>
          </w:tcPr>
          <w:p w:rsidR="00541D1B" w:rsidRPr="002C2B09" w:rsidRDefault="00541D1B" w:rsidP="00557A69"/>
        </w:tc>
      </w:tr>
    </w:tbl>
    <w:p w:rsidR="00147799" w:rsidRDefault="002C2B09" w:rsidP="00147799">
      <w:pPr>
        <w:pStyle w:val="Overskrift1"/>
      </w:pPr>
      <w:r>
        <w:t>Opgavebeskrivelse</w:t>
      </w:r>
    </w:p>
    <w:p w:rsidR="00632709" w:rsidRPr="00632709" w:rsidRDefault="00632709" w:rsidP="00632709">
      <w:pPr>
        <w:pStyle w:val="Overskrift2"/>
      </w:pPr>
      <w:r>
        <w:t>Kontraktens formål</w:t>
      </w:r>
    </w:p>
    <w:p w:rsidR="00147799" w:rsidRDefault="002C2B09" w:rsidP="00147799">
      <w:r>
        <w:t xml:space="preserve">Havkonventionen HELCOM vedtog i 2007 en handlingsplan for Østersøen – </w:t>
      </w:r>
      <w:proofErr w:type="spellStart"/>
      <w:r>
        <w:t>Baltic</w:t>
      </w:r>
      <w:proofErr w:type="spellEnd"/>
      <w:r>
        <w:t xml:space="preserve"> Sea Action Plan (BSAP). Handlingsplanen har som mål at skabe god økologisk status i Østersøen i 2021. Den indeholder en lang række indsatser til håndtering af f.eks. miljøfarlige stoffer og eutrofiering.  Ud fra en erkendelse af, at målet ikke kan nås i 2021, står handlingsplanen nu overfor at skulle opdateres med nye mål og indsatser. Den opdaterede version skal vedtages på </w:t>
      </w:r>
      <w:proofErr w:type="spellStart"/>
      <w:r>
        <w:t>HELCOMs</w:t>
      </w:r>
      <w:proofErr w:type="spellEnd"/>
      <w:r>
        <w:t xml:space="preserve"> ministermøde i efteråret 2021.</w:t>
      </w:r>
    </w:p>
    <w:p w:rsidR="002C2B09" w:rsidRDefault="002C2B09" w:rsidP="00147799"/>
    <w:p w:rsidR="00D83CD8" w:rsidRDefault="00571C26" w:rsidP="00147799">
      <w:r>
        <w:t>For at kunne identificere behovet for nye eller ændrede indsatser, er det besluttet at gennemføre en an</w:t>
      </w:r>
      <w:r w:rsidR="00E83A38">
        <w:t>a</w:t>
      </w:r>
      <w:r>
        <w:t>lyse af tilstrækkeligheden af eksisterende nationale og internationale indsatser. HELCOM har fået bevilliget midler gennem EU til at gennemføre denne analyse for fagområderne eutrofiering, bifangst af havpattedyr og fugle, påvirkning af havbunden og marine beskyttede områder</w:t>
      </w:r>
      <w:r w:rsidR="00AC1C1C">
        <w:t xml:space="preserve"> (HELCOM ACTION </w:t>
      </w:r>
      <w:proofErr w:type="spellStart"/>
      <w:r w:rsidR="00AC1C1C">
        <w:t>project</w:t>
      </w:r>
      <w:proofErr w:type="spellEnd"/>
      <w:r w:rsidR="00AC1C1C">
        <w:t>)</w:t>
      </w:r>
      <w:r>
        <w:t xml:space="preserve">. For de øvrige fagområder (miljøfarlige stoffer, ikke-hjemmehørende arter, marint affald, undervandsstøj og øvrige biodiversitetsemner) skal opgaven løftes i fællesskab blandt de kontraherende parter, hvor hvert land er </w:t>
      </w:r>
      <w:proofErr w:type="spellStart"/>
      <w:r>
        <w:t>lead</w:t>
      </w:r>
      <w:proofErr w:type="spellEnd"/>
      <w:r>
        <w:t xml:space="preserve"> på et eller flere fagområder. </w:t>
      </w:r>
      <w:r w:rsidR="00241E0B">
        <w:t xml:space="preserve">Arbejdet finder sted via en fælles platform for analyse af tilstrækkeligheden af </w:t>
      </w:r>
      <w:r w:rsidR="00AC1C1C">
        <w:t>indsatser</w:t>
      </w:r>
      <w:r w:rsidR="00241E0B">
        <w:t xml:space="preserve"> (</w:t>
      </w:r>
      <w:proofErr w:type="spellStart"/>
      <w:r w:rsidR="00241E0B">
        <w:t>sufficienty</w:t>
      </w:r>
      <w:proofErr w:type="spellEnd"/>
      <w:r w:rsidR="00241E0B">
        <w:t xml:space="preserve"> of measures), i HELCOM-regi kaldet SOM Platform. </w:t>
      </w:r>
    </w:p>
    <w:p w:rsidR="00D83CD8" w:rsidRDefault="00D83CD8" w:rsidP="00147799"/>
    <w:p w:rsidR="00632709" w:rsidRDefault="00571C26" w:rsidP="00147799">
      <w:r>
        <w:t xml:space="preserve">Danmark har meddelt HELCOM, at </w:t>
      </w:r>
      <w:r w:rsidR="00AC1C1C">
        <w:t>Danmark</w:t>
      </w:r>
      <w:r>
        <w:t xml:space="preserve"> ønsker at være </w:t>
      </w:r>
      <w:proofErr w:type="spellStart"/>
      <w:r>
        <w:t>lead</w:t>
      </w:r>
      <w:proofErr w:type="spellEnd"/>
      <w:r>
        <w:t xml:space="preserve"> på undervandsstøj og </w:t>
      </w:r>
      <w:proofErr w:type="spellStart"/>
      <w:r>
        <w:t>co-lead</w:t>
      </w:r>
      <w:proofErr w:type="spellEnd"/>
      <w:r>
        <w:t xml:space="preserve"> på miljøfarlige stoffer. Formålet med denne kontrakt er således at finde en </w:t>
      </w:r>
      <w:r w:rsidR="003612C5">
        <w:t xml:space="preserve">samarbejdspartner, som har den fornødne faglige ekspertise </w:t>
      </w:r>
      <w:r w:rsidR="00AC1C1C">
        <w:t xml:space="preserve">og erfaring </w:t>
      </w:r>
      <w:r w:rsidR="003612C5">
        <w:t>til at løfte denne opgave</w:t>
      </w:r>
      <w:r w:rsidR="00241E0B">
        <w:t xml:space="preserve"> (jf. beskrivelsen nedenfor)</w:t>
      </w:r>
      <w:r w:rsidR="003612C5">
        <w:t>.</w:t>
      </w:r>
    </w:p>
    <w:p w:rsidR="00632709" w:rsidRDefault="00632709" w:rsidP="00632709">
      <w:pPr>
        <w:pStyle w:val="Overskrift2"/>
      </w:pPr>
      <w:r>
        <w:t>Beskrivelse af leverancen</w:t>
      </w:r>
    </w:p>
    <w:p w:rsidR="00632709" w:rsidRDefault="00D83CD8" w:rsidP="00147799">
      <w:r>
        <w:t xml:space="preserve">Det overordnede mål med arbejdet er at understøtte opdateringen af </w:t>
      </w:r>
      <w:proofErr w:type="spellStart"/>
      <w:r>
        <w:t>Baltic</w:t>
      </w:r>
      <w:proofErr w:type="spellEnd"/>
      <w:r>
        <w:t xml:space="preserve"> Sea Action Plan ved at analysere tilstrækkeligheden af eksisterende </w:t>
      </w:r>
      <w:r w:rsidR="00AC1C1C">
        <w:t>indsatser</w:t>
      </w:r>
      <w:r>
        <w:t xml:space="preserve"> for at nå </w:t>
      </w:r>
      <w:proofErr w:type="spellStart"/>
      <w:r>
        <w:t>HELCOMs</w:t>
      </w:r>
      <w:proofErr w:type="spellEnd"/>
      <w:r>
        <w:t xml:space="preserve"> mål og på baggrund af dette identificere </w:t>
      </w:r>
      <w:r w:rsidR="00AC1C1C">
        <w:t xml:space="preserve">behovet for </w:t>
      </w:r>
      <w:r>
        <w:t xml:space="preserve">nye </w:t>
      </w:r>
      <w:r w:rsidR="00AC1C1C">
        <w:t>indsatser</w:t>
      </w:r>
      <w:r>
        <w:t>. I det vedtagne arbejdsprogram (terms of refer</w:t>
      </w:r>
      <w:r w:rsidR="00131DB2">
        <w:t>e</w:t>
      </w:r>
      <w:r>
        <w:t>nce) for SOM Platform, skal medlemmerne af platformen:</w:t>
      </w:r>
    </w:p>
    <w:p w:rsidR="00D83CD8" w:rsidRDefault="00D83CD8" w:rsidP="00147799"/>
    <w:p w:rsidR="00D83CD8" w:rsidRDefault="00D83CD8" w:rsidP="00D83CD8">
      <w:pPr>
        <w:pStyle w:val="Opstilling-punkttegn"/>
      </w:pPr>
      <w:r>
        <w:t xml:space="preserve">Indsamle eksisterende viden om </w:t>
      </w:r>
      <w:r w:rsidR="00131DB2">
        <w:t xml:space="preserve">nationale og internationale </w:t>
      </w:r>
      <w:r w:rsidR="00AC1C1C">
        <w:t>indsatser</w:t>
      </w:r>
      <w:r w:rsidR="00131DB2">
        <w:t xml:space="preserve"> og deres effekt</w:t>
      </w:r>
      <w:r w:rsidR="00AC1C1C">
        <w:t>ivitet</w:t>
      </w:r>
      <w:r w:rsidR="00131DB2">
        <w:t>.</w:t>
      </w:r>
    </w:p>
    <w:p w:rsidR="00D83CD8" w:rsidRDefault="00997AA8" w:rsidP="00D83CD8">
      <w:pPr>
        <w:pStyle w:val="Opstilling-punkttegn"/>
      </w:pPr>
      <w:proofErr w:type="gramStart"/>
      <w:r>
        <w:t>U</w:t>
      </w:r>
      <w:r w:rsidR="00D83CD8">
        <w:t>dvikl</w:t>
      </w:r>
      <w:r>
        <w:t>e</w:t>
      </w:r>
      <w:proofErr w:type="gramEnd"/>
      <w:r w:rsidR="00D83CD8">
        <w:t xml:space="preserve"> metoder til </w:t>
      </w:r>
      <w:r w:rsidR="00131DB2">
        <w:t>fastsættelse</w:t>
      </w:r>
      <w:r w:rsidR="00D83CD8">
        <w:t xml:space="preserve"> af ’business as </w:t>
      </w:r>
      <w:proofErr w:type="spellStart"/>
      <w:r w:rsidR="00D83CD8">
        <w:t>usual</w:t>
      </w:r>
      <w:proofErr w:type="spellEnd"/>
      <w:r w:rsidR="00D83CD8">
        <w:t xml:space="preserve">’ (BAU) og til analyse af </w:t>
      </w:r>
      <w:r w:rsidR="0033766B">
        <w:t>’</w:t>
      </w:r>
      <w:r w:rsidR="00D83CD8">
        <w:t xml:space="preserve">tilstrækkeligheden af </w:t>
      </w:r>
      <w:r w:rsidR="00AC1C1C">
        <w:t>indsatser</w:t>
      </w:r>
      <w:r>
        <w:t>’</w:t>
      </w:r>
      <w:r w:rsidR="0033766B">
        <w:t xml:space="preserve"> (SOM)</w:t>
      </w:r>
      <w:r w:rsidR="00D83CD8">
        <w:t xml:space="preserve">. </w:t>
      </w:r>
      <w:r>
        <w:t xml:space="preserve">Dette sker delvist i samspil med HELCOM ACTION </w:t>
      </w:r>
      <w:proofErr w:type="spellStart"/>
      <w:r>
        <w:t>project</w:t>
      </w:r>
      <w:proofErr w:type="spellEnd"/>
      <w:r>
        <w:t>.</w:t>
      </w:r>
    </w:p>
    <w:p w:rsidR="00D83CD8" w:rsidRDefault="00131DB2" w:rsidP="00D83CD8">
      <w:pPr>
        <w:pStyle w:val="Opstilling-punkttegn"/>
      </w:pPr>
      <w:r>
        <w:t>Fastsætte BAU og g</w:t>
      </w:r>
      <w:r w:rsidR="00D83CD8">
        <w:t>ennemføre en analyse af</w:t>
      </w:r>
      <w:r w:rsidR="0033766B">
        <w:t xml:space="preserve"> SOM</w:t>
      </w:r>
      <w:r w:rsidR="00D83CD8">
        <w:t xml:space="preserve"> på </w:t>
      </w:r>
      <w:r>
        <w:t>basis</w:t>
      </w:r>
      <w:r w:rsidR="00AC1C1C">
        <w:t xml:space="preserve"> af de</w:t>
      </w:r>
      <w:r w:rsidR="00D83CD8">
        <w:t xml:space="preserve"> ovenfornævnte metode</w:t>
      </w:r>
      <w:r w:rsidR="00AC1C1C">
        <w:t>r</w:t>
      </w:r>
      <w:r w:rsidR="00D83CD8">
        <w:t xml:space="preserve">. </w:t>
      </w:r>
    </w:p>
    <w:p w:rsidR="00D83CD8" w:rsidRDefault="00D83CD8" w:rsidP="00D83CD8">
      <w:pPr>
        <w:pStyle w:val="Opstilling-punkttegn"/>
      </w:pPr>
      <w:r>
        <w:t xml:space="preserve">Foreslå nye </w:t>
      </w:r>
      <w:r w:rsidR="00AC1C1C">
        <w:t>indsatser</w:t>
      </w:r>
      <w:r>
        <w:t xml:space="preserve"> på baggrund af </w:t>
      </w:r>
      <w:r w:rsidR="00131DB2">
        <w:t xml:space="preserve">resultaterne af ovenstående analyse samt den indsamlede viden om effektiviteten af nye </w:t>
      </w:r>
      <w:r w:rsidR="00AC1C1C">
        <w:t>indsatser</w:t>
      </w:r>
      <w:r w:rsidR="00131DB2">
        <w:t>.</w:t>
      </w:r>
    </w:p>
    <w:p w:rsidR="00131DB2" w:rsidRDefault="00997AA8" w:rsidP="00D83CD8">
      <w:pPr>
        <w:pStyle w:val="Opstilling-punkttegn"/>
      </w:pPr>
      <w:r>
        <w:t xml:space="preserve">Option: </w:t>
      </w:r>
      <w:r w:rsidR="00131DB2">
        <w:t xml:space="preserve">Potentielt </w:t>
      </w:r>
      <w:proofErr w:type="gramStart"/>
      <w:r w:rsidR="00131DB2">
        <w:t>gennemføre</w:t>
      </w:r>
      <w:proofErr w:type="gramEnd"/>
      <w:r w:rsidR="00131DB2">
        <w:t xml:space="preserve"> omkostningseffektivitetsanalyser af de foreslåede nye </w:t>
      </w:r>
      <w:r w:rsidR="00AC1C1C">
        <w:t>indsatser</w:t>
      </w:r>
      <w:r w:rsidR="00131DB2">
        <w:t>.</w:t>
      </w:r>
    </w:p>
    <w:p w:rsidR="00131DB2" w:rsidRDefault="00131DB2" w:rsidP="00131DB2">
      <w:pPr>
        <w:pStyle w:val="Opstilling-punkttegn"/>
        <w:numPr>
          <w:ilvl w:val="0"/>
          <w:numId w:val="0"/>
        </w:numPr>
        <w:ind w:left="454" w:hanging="454"/>
      </w:pPr>
    </w:p>
    <w:p w:rsidR="00131DB2" w:rsidRDefault="00131DB2" w:rsidP="00131DB2">
      <w:r>
        <w:t xml:space="preserve">Som </w:t>
      </w:r>
      <w:proofErr w:type="spellStart"/>
      <w:r>
        <w:t>lead</w:t>
      </w:r>
      <w:proofErr w:type="spellEnd"/>
      <w:r>
        <w:t xml:space="preserve"> for undervandsstøj forventes det, at leverandøren </w:t>
      </w:r>
      <w:r w:rsidR="0033766B">
        <w:t xml:space="preserve">gennemfører ovenstående analyser. Det skal ske i samarbejde med HELCOM ACTION </w:t>
      </w:r>
      <w:proofErr w:type="spellStart"/>
      <w:r w:rsidR="0033766B">
        <w:t>project</w:t>
      </w:r>
      <w:proofErr w:type="spellEnd"/>
      <w:r w:rsidR="0033766B">
        <w:t xml:space="preserve"> og de øvrige kontraherende parter, som dog forventes at bidrage i væsentlig mindre grad. De øvrige kontraherende parter kan forventes at kommentere analyserne </w:t>
      </w:r>
      <w:r w:rsidR="00AC1C1C">
        <w:t>og deres resultater samt</w:t>
      </w:r>
      <w:r w:rsidR="0033766B">
        <w:t xml:space="preserve"> bidrage med nødvendig national viden til brug for BAU og SOM.</w:t>
      </w:r>
      <w:r w:rsidR="00AC1C1C">
        <w:t xml:space="preserve"> Der forventes ikke at være nogen </w:t>
      </w:r>
      <w:proofErr w:type="spellStart"/>
      <w:r w:rsidR="00AC1C1C">
        <w:t>co-lead</w:t>
      </w:r>
      <w:proofErr w:type="spellEnd"/>
      <w:r w:rsidR="00AC1C1C">
        <w:t xml:space="preserve"> for undervandsstøj.</w:t>
      </w:r>
    </w:p>
    <w:p w:rsidR="0033766B" w:rsidRDefault="0033766B" w:rsidP="00131DB2"/>
    <w:p w:rsidR="00933239" w:rsidRDefault="0033766B" w:rsidP="00131DB2">
      <w:r>
        <w:t xml:space="preserve">Som </w:t>
      </w:r>
      <w:proofErr w:type="spellStart"/>
      <w:r>
        <w:t>co-lead</w:t>
      </w:r>
      <w:proofErr w:type="spellEnd"/>
      <w:r>
        <w:t xml:space="preserve"> for miljøfarlige stoffer forventes det, at leverandøren støtter </w:t>
      </w:r>
      <w:proofErr w:type="spellStart"/>
      <w:r>
        <w:t>lead</w:t>
      </w:r>
      <w:proofErr w:type="spellEnd"/>
      <w:r>
        <w:t xml:space="preserve"> i gennemførelsen af ovenstående analyser</w:t>
      </w:r>
      <w:r w:rsidR="00933239">
        <w:t xml:space="preserve"> (som beskrevet for undervandsstøj)</w:t>
      </w:r>
      <w:r>
        <w:t>. Det er endnu ikke besluttet, hvordan et stort emne som miljøfarlige stoffer skal håndteres. Det er muligt</w:t>
      </w:r>
      <w:r w:rsidR="00C60231">
        <w:t>,</w:t>
      </w:r>
      <w:r>
        <w:t xml:space="preserve"> at </w:t>
      </w:r>
      <w:proofErr w:type="spellStart"/>
      <w:r>
        <w:t>lead</w:t>
      </w:r>
      <w:proofErr w:type="spellEnd"/>
      <w:r>
        <w:t xml:space="preserve"> gennemfører analyserne for et </w:t>
      </w:r>
      <w:r w:rsidR="00AC1C1C">
        <w:t>vist</w:t>
      </w:r>
      <w:r>
        <w:t xml:space="preserve"> antal stoffer, og at </w:t>
      </w:r>
      <w:proofErr w:type="spellStart"/>
      <w:r>
        <w:t>co-lead</w:t>
      </w:r>
      <w:proofErr w:type="spellEnd"/>
      <w:r>
        <w:t xml:space="preserve"> gennemfører de tilsvarende analyser for et mindre antal stoffer. Dette skal besluttes i samarbejde med Miljø- og Fødevareministeriet og HELCOM.  </w:t>
      </w:r>
    </w:p>
    <w:p w:rsidR="004162F6" w:rsidRDefault="004162F6" w:rsidP="00131DB2"/>
    <w:p w:rsidR="004162F6" w:rsidRDefault="004162F6" w:rsidP="00131DB2">
      <w:r>
        <w:t xml:space="preserve">Leverandøren må forvente at deltage i cirka tre fysiske møder og nogle tematiske workshops i 2019-2020. </w:t>
      </w:r>
    </w:p>
    <w:p w:rsidR="00632709" w:rsidRDefault="00632709" w:rsidP="00632709">
      <w:pPr>
        <w:pStyle w:val="Overskrift2"/>
      </w:pPr>
      <w:r>
        <w:t>Krav til levera</w:t>
      </w:r>
      <w:r w:rsidR="00241E0B">
        <w:t>n</w:t>
      </w:r>
      <w:r>
        <w:t>døren</w:t>
      </w:r>
    </w:p>
    <w:p w:rsidR="005F4497" w:rsidRDefault="005F4497" w:rsidP="005F4497">
      <w:r>
        <w:t xml:space="preserve">Leverandøren skal have et godt kendskab til </w:t>
      </w:r>
      <w:proofErr w:type="spellStart"/>
      <w:r>
        <w:t>HELCOMs</w:t>
      </w:r>
      <w:proofErr w:type="spellEnd"/>
      <w:r>
        <w:t xml:space="preserve"> arbejde generelt, og det er et krav at leverandøren allerede deltager aktivt i </w:t>
      </w:r>
      <w:proofErr w:type="spellStart"/>
      <w:r>
        <w:t>HELCOMs</w:t>
      </w:r>
      <w:proofErr w:type="spellEnd"/>
      <w:r>
        <w:t xml:space="preserve"> ekspertgrupper om undervandsstøj (EN </w:t>
      </w:r>
      <w:proofErr w:type="spellStart"/>
      <w:r>
        <w:t>Noise</w:t>
      </w:r>
      <w:proofErr w:type="spellEnd"/>
      <w:r>
        <w:t xml:space="preserve">), miljøfarlige stoffer (EN </w:t>
      </w:r>
      <w:proofErr w:type="spellStart"/>
      <w:r>
        <w:t>Hazardous</w:t>
      </w:r>
      <w:proofErr w:type="spellEnd"/>
      <w:r>
        <w:t xml:space="preserve"> </w:t>
      </w:r>
      <w:proofErr w:type="spellStart"/>
      <w:r>
        <w:t>Substances</w:t>
      </w:r>
      <w:proofErr w:type="spellEnd"/>
      <w:r>
        <w:t xml:space="preserve">) og økonomiske og sociale analyser (EN ESA). </w:t>
      </w:r>
    </w:p>
    <w:p w:rsidR="005F4497" w:rsidRDefault="005F4497" w:rsidP="005F4497"/>
    <w:p w:rsidR="005F4497" w:rsidRDefault="005F4497" w:rsidP="005F4497">
      <w:r>
        <w:t>Leverandørens skal indarbejde følgende i</w:t>
      </w:r>
      <w:r w:rsidR="00924C88">
        <w:t xml:space="preserve"> bilag 3</w:t>
      </w:r>
      <w:r>
        <w:t xml:space="preserve"> (Leverandørens løsningsbeskrivelse): </w:t>
      </w:r>
    </w:p>
    <w:p w:rsidR="005F4497" w:rsidRDefault="005F4497" w:rsidP="005F4497"/>
    <w:p w:rsidR="005F4497" w:rsidRDefault="005F4497" w:rsidP="005F4497">
      <w:pPr>
        <w:pStyle w:val="Listeafsnit"/>
        <w:numPr>
          <w:ilvl w:val="0"/>
          <w:numId w:val="16"/>
        </w:numPr>
      </w:pPr>
      <w:r>
        <w:t>En k</w:t>
      </w:r>
      <w:r w:rsidRPr="00F73BB4">
        <w:t>ort beskrivelse af fremgangsmåde for gennemførelsen af det konkrete projekt</w:t>
      </w:r>
      <w:r>
        <w:t xml:space="preserve"> (maks. 2</w:t>
      </w:r>
      <w:r w:rsidRPr="00F73BB4">
        <w:t xml:space="preserve"> side</w:t>
      </w:r>
      <w:r>
        <w:t>r</w:t>
      </w:r>
      <w:r w:rsidRPr="00F73BB4">
        <w:t>)</w:t>
      </w:r>
      <w:r>
        <w:t xml:space="preserve">, som </w:t>
      </w:r>
      <w:proofErr w:type="gramStart"/>
      <w:r>
        <w:t>angivet</w:t>
      </w:r>
      <w:proofErr w:type="gramEnd"/>
      <w:r>
        <w:t xml:space="preserve"> ovenfor i kravspecifikationen.</w:t>
      </w:r>
      <w:r w:rsidRPr="005F4497">
        <w:t xml:space="preserve"> </w:t>
      </w:r>
    </w:p>
    <w:p w:rsidR="005F4497" w:rsidRDefault="005F4497" w:rsidP="005F4497">
      <w:pPr>
        <w:spacing w:line="240" w:lineRule="auto"/>
        <w:ind w:right="-1"/>
      </w:pPr>
    </w:p>
    <w:p w:rsidR="005F4497" w:rsidRDefault="005F4497" w:rsidP="005F4497">
      <w:pPr>
        <w:pStyle w:val="Listeafsnit"/>
        <w:numPr>
          <w:ilvl w:val="0"/>
          <w:numId w:val="16"/>
        </w:numPr>
        <w:spacing w:line="240" w:lineRule="auto"/>
        <w:ind w:right="-1"/>
      </w:pPr>
      <w:r>
        <w:t xml:space="preserve">Leverandøren skal desuden vedhæfte </w:t>
      </w:r>
      <w:r w:rsidRPr="00F73BB4">
        <w:t xml:space="preserve">CV’er på </w:t>
      </w:r>
      <w:r>
        <w:t>3-6</w:t>
      </w:r>
      <w:r w:rsidRPr="00F73BB4">
        <w:t xml:space="preserve"> nøglepersoner som dokumentation.</w:t>
      </w:r>
      <w:r>
        <w:t xml:space="preserve"> </w:t>
      </w:r>
    </w:p>
    <w:p w:rsidR="005F4497" w:rsidRDefault="005F4497" w:rsidP="005F4497">
      <w:pPr>
        <w:spacing w:line="240" w:lineRule="auto"/>
        <w:ind w:right="-1"/>
      </w:pPr>
    </w:p>
    <w:p w:rsidR="005F4497" w:rsidRPr="00860602" w:rsidRDefault="005F4497" w:rsidP="005F4497">
      <w:pPr>
        <w:spacing w:line="240" w:lineRule="auto"/>
        <w:ind w:right="-1"/>
        <w:rPr>
          <w:i/>
        </w:rPr>
      </w:pPr>
      <w:r>
        <w:t xml:space="preserve">De tilbudte nøglepersoner forventes at have indgående kendskab til den nyeste viden om undervandsstøj, miljøfarlige stoffer og </w:t>
      </w:r>
      <w:proofErr w:type="spellStart"/>
      <w:r>
        <w:t>socioøkonomi</w:t>
      </w:r>
      <w:proofErr w:type="spellEnd"/>
      <w:r>
        <w:t>. Derudover forventes nøglepersonerne at have erfaring med analyser af effektiviteten af indsatser samt udvikling af nye indsatser.</w:t>
      </w:r>
    </w:p>
    <w:p w:rsidR="005F4497" w:rsidRPr="00F73BB4" w:rsidRDefault="005F4497" w:rsidP="005F4497">
      <w:pPr>
        <w:spacing w:line="240" w:lineRule="auto"/>
        <w:ind w:right="-1"/>
      </w:pPr>
    </w:p>
    <w:p w:rsidR="005F4497" w:rsidRDefault="005F4497" w:rsidP="00933239">
      <w:r>
        <w:t>Nøglepersonerne skal desuden have indgående kendskab til de nyeste forskningsresultater inden for undervandsstøj og miljøfarlige stoffer. Herunder viden om indsatser og deres effektivitet. Leverandøren skal endvidere have indgående kendskab til analyser af omkostningseffektivitet af indsatser.</w:t>
      </w:r>
    </w:p>
    <w:p w:rsidR="00924C88" w:rsidRDefault="00924C88" w:rsidP="00933239"/>
    <w:p w:rsidR="00924C88" w:rsidRPr="00933239" w:rsidRDefault="00924C88" w:rsidP="00933239">
      <w:r>
        <w:t>Leverandøren skal indarbejde timepriser for de tilbudte nøglepersoner i henhold til konsulentkategorierne</w:t>
      </w:r>
      <w:r w:rsidR="00E83A38">
        <w:t xml:space="preserve"> angivet i bilag 3</w:t>
      </w:r>
      <w:r>
        <w:t>.</w:t>
      </w:r>
    </w:p>
    <w:p w:rsidR="00F44CF6" w:rsidRPr="002C2B09" w:rsidRDefault="00A8038E" w:rsidP="00F44CF6">
      <w:pPr>
        <w:pStyle w:val="Overskrift1"/>
      </w:pPr>
      <w:r>
        <w:t>T</w:t>
      </w:r>
      <w:r w:rsidR="002C2B09">
        <w:t>idsplan</w:t>
      </w:r>
    </w:p>
    <w:p w:rsidR="00F44CF6" w:rsidRDefault="000E0AB6" w:rsidP="00F44CF6">
      <w:r>
        <w:t xml:space="preserve">Arbejdet finder sted i perioden februar 2019 til </w:t>
      </w:r>
      <w:r w:rsidR="00DE44A0">
        <w:t>midt 2020, men kan dog forlænges til udgangen af 2020</w:t>
      </w:r>
      <w:r w:rsidR="00DD5D75">
        <w:t>, hvis det vurderes nødvendigt</w:t>
      </w:r>
      <w:r w:rsidR="00DE44A0">
        <w:t>. Hovedvægten af arbejdet forventes at ligge fra midt 2019 til midt 2020. Den foreløbige tidsplan for SOM Platform (som vedtaget på HELCOM HOD 55-2018) ser således ud:</w:t>
      </w:r>
    </w:p>
    <w:p w:rsidR="00DE44A0" w:rsidRDefault="00DE44A0" w:rsidP="00F44CF6"/>
    <w:tbl>
      <w:tblPr>
        <w:tblStyle w:val="Tabel-Gitter"/>
        <w:tblW w:w="0" w:type="auto"/>
        <w:tblLook w:val="04A0" w:firstRow="1" w:lastRow="0" w:firstColumn="1" w:lastColumn="0" w:noHBand="0" w:noVBand="1"/>
      </w:tblPr>
      <w:tblGrid>
        <w:gridCol w:w="3173"/>
        <w:gridCol w:w="829"/>
        <w:gridCol w:w="739"/>
        <w:gridCol w:w="739"/>
        <w:gridCol w:w="740"/>
        <w:gridCol w:w="847"/>
        <w:gridCol w:w="740"/>
        <w:gridCol w:w="739"/>
        <w:gridCol w:w="740"/>
      </w:tblGrid>
      <w:tr w:rsidR="00F96668" w:rsidRPr="00F96668" w:rsidTr="00F96668">
        <w:tc>
          <w:tcPr>
            <w:tcW w:w="3173" w:type="dxa"/>
            <w:vMerge w:val="restart"/>
          </w:tcPr>
          <w:p w:rsidR="00F96668" w:rsidRPr="00F96668" w:rsidRDefault="00F96668" w:rsidP="00F44CF6">
            <w:pPr>
              <w:rPr>
                <w:sz w:val="18"/>
                <w:szCs w:val="18"/>
              </w:rPr>
            </w:pPr>
          </w:p>
        </w:tc>
        <w:tc>
          <w:tcPr>
            <w:tcW w:w="829" w:type="dxa"/>
          </w:tcPr>
          <w:p w:rsidR="00F96668" w:rsidRPr="00F96668" w:rsidRDefault="00F96668" w:rsidP="00F44CF6">
            <w:pPr>
              <w:rPr>
                <w:sz w:val="18"/>
                <w:szCs w:val="18"/>
              </w:rPr>
            </w:pPr>
            <w:r w:rsidRPr="00F96668">
              <w:rPr>
                <w:sz w:val="18"/>
                <w:szCs w:val="18"/>
              </w:rPr>
              <w:t>2019</w:t>
            </w:r>
          </w:p>
        </w:tc>
        <w:tc>
          <w:tcPr>
            <w:tcW w:w="739" w:type="dxa"/>
          </w:tcPr>
          <w:p w:rsidR="00F96668" w:rsidRPr="00F96668" w:rsidRDefault="00F96668" w:rsidP="00F44CF6">
            <w:pPr>
              <w:rPr>
                <w:sz w:val="18"/>
                <w:szCs w:val="18"/>
              </w:rPr>
            </w:pPr>
          </w:p>
        </w:tc>
        <w:tc>
          <w:tcPr>
            <w:tcW w:w="739" w:type="dxa"/>
          </w:tcPr>
          <w:p w:rsidR="00F96668" w:rsidRPr="00F96668" w:rsidRDefault="00F96668" w:rsidP="00F44CF6">
            <w:pPr>
              <w:rPr>
                <w:sz w:val="18"/>
                <w:szCs w:val="18"/>
              </w:rPr>
            </w:pPr>
          </w:p>
        </w:tc>
        <w:tc>
          <w:tcPr>
            <w:tcW w:w="740" w:type="dxa"/>
          </w:tcPr>
          <w:p w:rsidR="00F96668" w:rsidRPr="00F96668" w:rsidRDefault="00F96668" w:rsidP="00F44CF6">
            <w:pPr>
              <w:rPr>
                <w:sz w:val="18"/>
                <w:szCs w:val="18"/>
              </w:rPr>
            </w:pPr>
          </w:p>
        </w:tc>
        <w:tc>
          <w:tcPr>
            <w:tcW w:w="847" w:type="dxa"/>
          </w:tcPr>
          <w:p w:rsidR="00F96668" w:rsidRPr="00F96668" w:rsidRDefault="00F96668" w:rsidP="00F44CF6">
            <w:pPr>
              <w:rPr>
                <w:sz w:val="18"/>
                <w:szCs w:val="18"/>
              </w:rPr>
            </w:pPr>
            <w:r w:rsidRPr="00F96668">
              <w:rPr>
                <w:sz w:val="18"/>
                <w:szCs w:val="18"/>
              </w:rPr>
              <w:t>2020</w:t>
            </w:r>
          </w:p>
        </w:tc>
        <w:tc>
          <w:tcPr>
            <w:tcW w:w="740" w:type="dxa"/>
          </w:tcPr>
          <w:p w:rsidR="00F96668" w:rsidRPr="00F96668" w:rsidRDefault="00F96668" w:rsidP="00F44CF6">
            <w:pPr>
              <w:rPr>
                <w:sz w:val="18"/>
                <w:szCs w:val="18"/>
              </w:rPr>
            </w:pPr>
          </w:p>
        </w:tc>
        <w:tc>
          <w:tcPr>
            <w:tcW w:w="739" w:type="dxa"/>
          </w:tcPr>
          <w:p w:rsidR="00F96668" w:rsidRPr="00F96668" w:rsidRDefault="00F96668" w:rsidP="00F44CF6">
            <w:pPr>
              <w:rPr>
                <w:sz w:val="18"/>
                <w:szCs w:val="18"/>
              </w:rPr>
            </w:pPr>
          </w:p>
        </w:tc>
        <w:tc>
          <w:tcPr>
            <w:tcW w:w="740" w:type="dxa"/>
          </w:tcPr>
          <w:p w:rsidR="00F96668" w:rsidRPr="00F96668" w:rsidRDefault="00F96668" w:rsidP="00F44CF6">
            <w:pPr>
              <w:rPr>
                <w:sz w:val="18"/>
                <w:szCs w:val="18"/>
              </w:rPr>
            </w:pPr>
          </w:p>
        </w:tc>
      </w:tr>
      <w:tr w:rsidR="00F96668" w:rsidRPr="00F96668" w:rsidTr="00F96668">
        <w:tc>
          <w:tcPr>
            <w:tcW w:w="3173" w:type="dxa"/>
            <w:vMerge/>
          </w:tcPr>
          <w:p w:rsidR="00F96668" w:rsidRPr="00F96668" w:rsidRDefault="00F96668" w:rsidP="00F44CF6">
            <w:pPr>
              <w:rPr>
                <w:sz w:val="18"/>
                <w:szCs w:val="18"/>
              </w:rPr>
            </w:pPr>
          </w:p>
        </w:tc>
        <w:tc>
          <w:tcPr>
            <w:tcW w:w="829" w:type="dxa"/>
          </w:tcPr>
          <w:p w:rsidR="00F96668" w:rsidRPr="00F96668" w:rsidRDefault="00F96668" w:rsidP="00F44CF6">
            <w:pPr>
              <w:rPr>
                <w:sz w:val="18"/>
                <w:szCs w:val="18"/>
              </w:rPr>
            </w:pPr>
            <w:r w:rsidRPr="00F96668">
              <w:rPr>
                <w:sz w:val="18"/>
                <w:szCs w:val="18"/>
              </w:rPr>
              <w:t>Q1</w:t>
            </w:r>
          </w:p>
        </w:tc>
        <w:tc>
          <w:tcPr>
            <w:tcW w:w="739" w:type="dxa"/>
          </w:tcPr>
          <w:p w:rsidR="00F96668" w:rsidRPr="00F96668" w:rsidRDefault="00F96668" w:rsidP="00F44CF6">
            <w:pPr>
              <w:rPr>
                <w:sz w:val="18"/>
                <w:szCs w:val="18"/>
              </w:rPr>
            </w:pPr>
            <w:r w:rsidRPr="00F96668">
              <w:rPr>
                <w:sz w:val="18"/>
                <w:szCs w:val="18"/>
              </w:rPr>
              <w:t>Q2</w:t>
            </w:r>
          </w:p>
        </w:tc>
        <w:tc>
          <w:tcPr>
            <w:tcW w:w="739" w:type="dxa"/>
          </w:tcPr>
          <w:p w:rsidR="00F96668" w:rsidRPr="00F96668" w:rsidRDefault="00F96668" w:rsidP="00F44CF6">
            <w:pPr>
              <w:rPr>
                <w:sz w:val="18"/>
                <w:szCs w:val="18"/>
              </w:rPr>
            </w:pPr>
            <w:r w:rsidRPr="00F96668">
              <w:rPr>
                <w:sz w:val="18"/>
                <w:szCs w:val="18"/>
              </w:rPr>
              <w:t>Q3</w:t>
            </w:r>
          </w:p>
        </w:tc>
        <w:tc>
          <w:tcPr>
            <w:tcW w:w="740" w:type="dxa"/>
          </w:tcPr>
          <w:p w:rsidR="00F96668" w:rsidRPr="00F96668" w:rsidRDefault="00F96668" w:rsidP="00F44CF6">
            <w:pPr>
              <w:rPr>
                <w:sz w:val="18"/>
                <w:szCs w:val="18"/>
              </w:rPr>
            </w:pPr>
            <w:r w:rsidRPr="00F96668">
              <w:rPr>
                <w:sz w:val="18"/>
                <w:szCs w:val="18"/>
              </w:rPr>
              <w:t>Q4</w:t>
            </w:r>
          </w:p>
        </w:tc>
        <w:tc>
          <w:tcPr>
            <w:tcW w:w="847" w:type="dxa"/>
          </w:tcPr>
          <w:p w:rsidR="00F96668" w:rsidRPr="00F96668" w:rsidRDefault="00F96668" w:rsidP="00F44CF6">
            <w:pPr>
              <w:rPr>
                <w:sz w:val="18"/>
                <w:szCs w:val="18"/>
              </w:rPr>
            </w:pPr>
            <w:r w:rsidRPr="00F96668">
              <w:rPr>
                <w:sz w:val="18"/>
                <w:szCs w:val="18"/>
              </w:rPr>
              <w:t>Q1</w:t>
            </w:r>
          </w:p>
        </w:tc>
        <w:tc>
          <w:tcPr>
            <w:tcW w:w="740" w:type="dxa"/>
          </w:tcPr>
          <w:p w:rsidR="00F96668" w:rsidRPr="00F96668" w:rsidRDefault="00F96668" w:rsidP="00F44CF6">
            <w:pPr>
              <w:rPr>
                <w:sz w:val="18"/>
                <w:szCs w:val="18"/>
              </w:rPr>
            </w:pPr>
            <w:r w:rsidRPr="00F96668">
              <w:rPr>
                <w:sz w:val="18"/>
                <w:szCs w:val="18"/>
              </w:rPr>
              <w:t>Q2</w:t>
            </w:r>
          </w:p>
        </w:tc>
        <w:tc>
          <w:tcPr>
            <w:tcW w:w="739" w:type="dxa"/>
          </w:tcPr>
          <w:p w:rsidR="00F96668" w:rsidRPr="00F96668" w:rsidRDefault="00F96668" w:rsidP="00F44CF6">
            <w:pPr>
              <w:rPr>
                <w:sz w:val="18"/>
                <w:szCs w:val="18"/>
              </w:rPr>
            </w:pPr>
            <w:r w:rsidRPr="00F96668">
              <w:rPr>
                <w:sz w:val="18"/>
                <w:szCs w:val="18"/>
              </w:rPr>
              <w:t>Q3</w:t>
            </w:r>
          </w:p>
        </w:tc>
        <w:tc>
          <w:tcPr>
            <w:tcW w:w="740" w:type="dxa"/>
          </w:tcPr>
          <w:p w:rsidR="00F96668" w:rsidRPr="00F96668" w:rsidRDefault="00F96668" w:rsidP="00F44CF6">
            <w:pPr>
              <w:rPr>
                <w:sz w:val="18"/>
                <w:szCs w:val="18"/>
              </w:rPr>
            </w:pPr>
            <w:r w:rsidRPr="00F96668">
              <w:rPr>
                <w:sz w:val="18"/>
                <w:szCs w:val="18"/>
              </w:rPr>
              <w:t>Q4</w:t>
            </w:r>
          </w:p>
        </w:tc>
      </w:tr>
      <w:tr w:rsidR="00F96668" w:rsidRPr="00F96668" w:rsidTr="00F96668">
        <w:tc>
          <w:tcPr>
            <w:tcW w:w="3173" w:type="dxa"/>
          </w:tcPr>
          <w:p w:rsidR="00DE44A0" w:rsidRPr="00F96668" w:rsidRDefault="00DE44A0" w:rsidP="00F44CF6">
            <w:pPr>
              <w:rPr>
                <w:sz w:val="18"/>
                <w:szCs w:val="18"/>
              </w:rPr>
            </w:pPr>
            <w:r w:rsidRPr="00F96668">
              <w:rPr>
                <w:sz w:val="18"/>
                <w:szCs w:val="18"/>
              </w:rPr>
              <w:t>Indsamling af viden</w:t>
            </w:r>
          </w:p>
        </w:tc>
        <w:tc>
          <w:tcPr>
            <w:tcW w:w="829" w:type="dxa"/>
            <w:shd w:val="clear" w:color="auto" w:fill="A6A6A6" w:themeFill="background1" w:themeFillShade="A6"/>
          </w:tcPr>
          <w:p w:rsidR="00DE44A0" w:rsidRPr="00F96668" w:rsidRDefault="00DE44A0" w:rsidP="00F44CF6">
            <w:pPr>
              <w:rPr>
                <w:sz w:val="18"/>
                <w:szCs w:val="18"/>
              </w:rPr>
            </w:pPr>
          </w:p>
        </w:tc>
        <w:tc>
          <w:tcPr>
            <w:tcW w:w="739" w:type="dxa"/>
            <w:shd w:val="clear" w:color="auto" w:fill="A6A6A6" w:themeFill="background1" w:themeFillShade="A6"/>
          </w:tcPr>
          <w:p w:rsidR="00DE44A0" w:rsidRPr="00F96668" w:rsidRDefault="00DE44A0" w:rsidP="00F44CF6">
            <w:pPr>
              <w:rPr>
                <w:sz w:val="18"/>
                <w:szCs w:val="18"/>
              </w:rPr>
            </w:pPr>
          </w:p>
        </w:tc>
        <w:tc>
          <w:tcPr>
            <w:tcW w:w="739" w:type="dxa"/>
            <w:shd w:val="clear" w:color="auto" w:fill="A6A6A6" w:themeFill="background1" w:themeFillShade="A6"/>
          </w:tcPr>
          <w:p w:rsidR="00DE44A0" w:rsidRPr="00F96668" w:rsidRDefault="00DE44A0" w:rsidP="00F44CF6">
            <w:pPr>
              <w:rPr>
                <w:sz w:val="18"/>
                <w:szCs w:val="18"/>
              </w:rPr>
            </w:pPr>
          </w:p>
        </w:tc>
        <w:tc>
          <w:tcPr>
            <w:tcW w:w="740" w:type="dxa"/>
            <w:shd w:val="clear" w:color="auto" w:fill="A6A6A6" w:themeFill="background1" w:themeFillShade="A6"/>
          </w:tcPr>
          <w:p w:rsidR="00DE44A0" w:rsidRPr="00F96668" w:rsidRDefault="00DE44A0" w:rsidP="00F44CF6">
            <w:pPr>
              <w:rPr>
                <w:sz w:val="18"/>
                <w:szCs w:val="18"/>
              </w:rPr>
            </w:pPr>
          </w:p>
        </w:tc>
        <w:tc>
          <w:tcPr>
            <w:tcW w:w="847"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r>
      <w:tr w:rsidR="00F96668" w:rsidRPr="00F96668" w:rsidTr="00F96668">
        <w:tc>
          <w:tcPr>
            <w:tcW w:w="3173" w:type="dxa"/>
          </w:tcPr>
          <w:p w:rsidR="00DE44A0" w:rsidRPr="00F96668" w:rsidRDefault="00DE44A0" w:rsidP="00F44CF6">
            <w:pPr>
              <w:rPr>
                <w:sz w:val="18"/>
                <w:szCs w:val="18"/>
              </w:rPr>
            </w:pPr>
            <w:r w:rsidRPr="00F96668">
              <w:rPr>
                <w:sz w:val="18"/>
                <w:szCs w:val="18"/>
              </w:rPr>
              <w:t>Planlægning af BAU og SOM</w:t>
            </w:r>
          </w:p>
        </w:tc>
        <w:tc>
          <w:tcPr>
            <w:tcW w:w="829" w:type="dxa"/>
            <w:shd w:val="clear" w:color="auto" w:fill="A6A6A6" w:themeFill="background1" w:themeFillShade="A6"/>
          </w:tcPr>
          <w:p w:rsidR="00DE44A0" w:rsidRPr="00F96668" w:rsidRDefault="00DE44A0" w:rsidP="00F44CF6">
            <w:pPr>
              <w:rPr>
                <w:sz w:val="18"/>
                <w:szCs w:val="18"/>
              </w:rPr>
            </w:pPr>
          </w:p>
        </w:tc>
        <w:tc>
          <w:tcPr>
            <w:tcW w:w="739" w:type="dxa"/>
            <w:shd w:val="clear" w:color="auto" w:fill="A6A6A6" w:themeFill="background1" w:themeFillShade="A6"/>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c>
          <w:tcPr>
            <w:tcW w:w="847"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r>
      <w:tr w:rsidR="00F96668" w:rsidRPr="00F96668" w:rsidTr="00F96668">
        <w:tc>
          <w:tcPr>
            <w:tcW w:w="3173" w:type="dxa"/>
          </w:tcPr>
          <w:p w:rsidR="00DE44A0" w:rsidRPr="00F96668" w:rsidRDefault="00DE44A0" w:rsidP="00F44CF6">
            <w:pPr>
              <w:rPr>
                <w:sz w:val="18"/>
                <w:szCs w:val="18"/>
              </w:rPr>
            </w:pPr>
            <w:r w:rsidRPr="00F96668">
              <w:rPr>
                <w:sz w:val="18"/>
                <w:szCs w:val="18"/>
              </w:rPr>
              <w:t>Fastsætte BAU</w:t>
            </w:r>
          </w:p>
        </w:tc>
        <w:tc>
          <w:tcPr>
            <w:tcW w:w="829"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39" w:type="dxa"/>
            <w:shd w:val="clear" w:color="auto" w:fill="A6A6A6" w:themeFill="background1" w:themeFillShade="A6"/>
          </w:tcPr>
          <w:p w:rsidR="00DE44A0" w:rsidRPr="00F96668" w:rsidRDefault="00DE44A0" w:rsidP="00F44CF6">
            <w:pPr>
              <w:rPr>
                <w:sz w:val="18"/>
                <w:szCs w:val="18"/>
              </w:rPr>
            </w:pPr>
          </w:p>
        </w:tc>
        <w:tc>
          <w:tcPr>
            <w:tcW w:w="740" w:type="dxa"/>
            <w:shd w:val="clear" w:color="auto" w:fill="A6A6A6" w:themeFill="background1" w:themeFillShade="A6"/>
          </w:tcPr>
          <w:p w:rsidR="00DE44A0" w:rsidRPr="00F96668" w:rsidRDefault="00DE44A0" w:rsidP="00F44CF6">
            <w:pPr>
              <w:rPr>
                <w:sz w:val="18"/>
                <w:szCs w:val="18"/>
              </w:rPr>
            </w:pPr>
          </w:p>
        </w:tc>
        <w:tc>
          <w:tcPr>
            <w:tcW w:w="847"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r>
      <w:tr w:rsidR="00F96668" w:rsidRPr="00F96668" w:rsidTr="00F96668">
        <w:tc>
          <w:tcPr>
            <w:tcW w:w="3173" w:type="dxa"/>
          </w:tcPr>
          <w:p w:rsidR="00DE44A0" w:rsidRPr="00F96668" w:rsidRDefault="00F96668" w:rsidP="00F44CF6">
            <w:pPr>
              <w:rPr>
                <w:sz w:val="18"/>
                <w:szCs w:val="18"/>
              </w:rPr>
            </w:pPr>
            <w:r w:rsidRPr="00F96668">
              <w:rPr>
                <w:sz w:val="18"/>
                <w:szCs w:val="18"/>
              </w:rPr>
              <w:lastRenderedPageBreak/>
              <w:t>Gennemføre SOM</w:t>
            </w:r>
          </w:p>
        </w:tc>
        <w:tc>
          <w:tcPr>
            <w:tcW w:w="829"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shd w:val="clear" w:color="auto" w:fill="A6A6A6" w:themeFill="background1" w:themeFillShade="A6"/>
          </w:tcPr>
          <w:p w:rsidR="00DE44A0" w:rsidRPr="00F96668" w:rsidRDefault="00DE44A0" w:rsidP="00F44CF6">
            <w:pPr>
              <w:rPr>
                <w:sz w:val="18"/>
                <w:szCs w:val="18"/>
              </w:rPr>
            </w:pPr>
          </w:p>
        </w:tc>
        <w:tc>
          <w:tcPr>
            <w:tcW w:w="847" w:type="dxa"/>
            <w:shd w:val="clear" w:color="auto" w:fill="A6A6A6" w:themeFill="background1" w:themeFillShade="A6"/>
          </w:tcPr>
          <w:p w:rsidR="00DE44A0" w:rsidRPr="00F96668" w:rsidRDefault="00DE44A0" w:rsidP="00F44CF6">
            <w:pPr>
              <w:rPr>
                <w:sz w:val="18"/>
                <w:szCs w:val="18"/>
              </w:rPr>
            </w:pPr>
          </w:p>
        </w:tc>
        <w:tc>
          <w:tcPr>
            <w:tcW w:w="740" w:type="dxa"/>
            <w:shd w:val="clear" w:color="auto" w:fill="A6A6A6" w:themeFill="background1" w:themeFillShade="A6"/>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r>
      <w:tr w:rsidR="00F96668" w:rsidRPr="00F96668" w:rsidTr="00F96668">
        <w:tc>
          <w:tcPr>
            <w:tcW w:w="3173" w:type="dxa"/>
          </w:tcPr>
          <w:p w:rsidR="00DE44A0" w:rsidRPr="00F96668" w:rsidRDefault="00F96668" w:rsidP="00F44CF6">
            <w:pPr>
              <w:rPr>
                <w:sz w:val="18"/>
                <w:szCs w:val="18"/>
              </w:rPr>
            </w:pPr>
            <w:r w:rsidRPr="00F96668">
              <w:rPr>
                <w:sz w:val="18"/>
                <w:szCs w:val="18"/>
              </w:rPr>
              <w:t>Foreslå nye indsatser</w:t>
            </w:r>
          </w:p>
        </w:tc>
        <w:tc>
          <w:tcPr>
            <w:tcW w:w="829"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c>
          <w:tcPr>
            <w:tcW w:w="847" w:type="dxa"/>
          </w:tcPr>
          <w:p w:rsidR="00DE44A0" w:rsidRPr="00F96668" w:rsidRDefault="00DE44A0" w:rsidP="00F44CF6">
            <w:pPr>
              <w:rPr>
                <w:sz w:val="18"/>
                <w:szCs w:val="18"/>
              </w:rPr>
            </w:pPr>
          </w:p>
        </w:tc>
        <w:tc>
          <w:tcPr>
            <w:tcW w:w="740" w:type="dxa"/>
            <w:shd w:val="clear" w:color="auto" w:fill="A6A6A6" w:themeFill="background1" w:themeFillShade="A6"/>
          </w:tcPr>
          <w:p w:rsidR="00DE44A0" w:rsidRPr="00F96668" w:rsidRDefault="00DE44A0" w:rsidP="00F44CF6">
            <w:pPr>
              <w:rPr>
                <w:sz w:val="18"/>
                <w:szCs w:val="18"/>
              </w:rPr>
            </w:pPr>
          </w:p>
        </w:tc>
        <w:tc>
          <w:tcPr>
            <w:tcW w:w="739" w:type="dxa"/>
          </w:tcPr>
          <w:p w:rsidR="00DE44A0" w:rsidRPr="00F96668" w:rsidRDefault="00DE44A0" w:rsidP="00F44CF6">
            <w:pPr>
              <w:rPr>
                <w:sz w:val="18"/>
                <w:szCs w:val="18"/>
              </w:rPr>
            </w:pPr>
          </w:p>
        </w:tc>
        <w:tc>
          <w:tcPr>
            <w:tcW w:w="740" w:type="dxa"/>
          </w:tcPr>
          <w:p w:rsidR="00DE44A0" w:rsidRPr="00F96668" w:rsidRDefault="00DE44A0" w:rsidP="00F44CF6">
            <w:pPr>
              <w:rPr>
                <w:sz w:val="18"/>
                <w:szCs w:val="18"/>
              </w:rPr>
            </w:pPr>
          </w:p>
        </w:tc>
      </w:tr>
      <w:tr w:rsidR="00F96668" w:rsidRPr="00F96668" w:rsidTr="00F96668">
        <w:tc>
          <w:tcPr>
            <w:tcW w:w="3173" w:type="dxa"/>
          </w:tcPr>
          <w:p w:rsidR="00F96668" w:rsidRPr="00F96668" w:rsidRDefault="00997AA8" w:rsidP="00F96668">
            <w:pPr>
              <w:rPr>
                <w:sz w:val="18"/>
                <w:szCs w:val="18"/>
              </w:rPr>
            </w:pPr>
            <w:r>
              <w:rPr>
                <w:sz w:val="18"/>
                <w:szCs w:val="18"/>
              </w:rPr>
              <w:t>Option</w:t>
            </w:r>
            <w:r w:rsidR="00F96668" w:rsidRPr="00F96668">
              <w:rPr>
                <w:sz w:val="18"/>
                <w:szCs w:val="18"/>
              </w:rPr>
              <w:t>: Analyse af omkostnings-effektivitet af nye indsatser</w:t>
            </w:r>
          </w:p>
        </w:tc>
        <w:tc>
          <w:tcPr>
            <w:tcW w:w="829" w:type="dxa"/>
          </w:tcPr>
          <w:p w:rsidR="00F96668" w:rsidRPr="00F96668" w:rsidRDefault="00F96668" w:rsidP="00F44CF6">
            <w:pPr>
              <w:rPr>
                <w:sz w:val="18"/>
                <w:szCs w:val="18"/>
              </w:rPr>
            </w:pPr>
          </w:p>
        </w:tc>
        <w:tc>
          <w:tcPr>
            <w:tcW w:w="739" w:type="dxa"/>
          </w:tcPr>
          <w:p w:rsidR="00F96668" w:rsidRPr="00F96668" w:rsidRDefault="00F96668" w:rsidP="00F44CF6">
            <w:pPr>
              <w:rPr>
                <w:sz w:val="18"/>
                <w:szCs w:val="18"/>
              </w:rPr>
            </w:pPr>
          </w:p>
        </w:tc>
        <w:tc>
          <w:tcPr>
            <w:tcW w:w="739" w:type="dxa"/>
          </w:tcPr>
          <w:p w:rsidR="00F96668" w:rsidRPr="00F96668" w:rsidRDefault="00F96668" w:rsidP="00F44CF6">
            <w:pPr>
              <w:rPr>
                <w:sz w:val="18"/>
                <w:szCs w:val="18"/>
              </w:rPr>
            </w:pPr>
          </w:p>
        </w:tc>
        <w:tc>
          <w:tcPr>
            <w:tcW w:w="740" w:type="dxa"/>
          </w:tcPr>
          <w:p w:rsidR="00F96668" w:rsidRPr="00F96668" w:rsidRDefault="00F96668" w:rsidP="00F44CF6">
            <w:pPr>
              <w:rPr>
                <w:sz w:val="18"/>
                <w:szCs w:val="18"/>
              </w:rPr>
            </w:pPr>
          </w:p>
        </w:tc>
        <w:tc>
          <w:tcPr>
            <w:tcW w:w="847" w:type="dxa"/>
          </w:tcPr>
          <w:p w:rsidR="00F96668" w:rsidRPr="00F96668" w:rsidRDefault="00F96668" w:rsidP="00F44CF6">
            <w:pPr>
              <w:rPr>
                <w:sz w:val="18"/>
                <w:szCs w:val="18"/>
              </w:rPr>
            </w:pPr>
          </w:p>
        </w:tc>
        <w:tc>
          <w:tcPr>
            <w:tcW w:w="740" w:type="dxa"/>
          </w:tcPr>
          <w:p w:rsidR="00F96668" w:rsidRPr="00F96668" w:rsidRDefault="00F96668" w:rsidP="00F44CF6">
            <w:pPr>
              <w:rPr>
                <w:sz w:val="18"/>
                <w:szCs w:val="18"/>
              </w:rPr>
            </w:pPr>
          </w:p>
        </w:tc>
        <w:tc>
          <w:tcPr>
            <w:tcW w:w="739" w:type="dxa"/>
            <w:shd w:val="clear" w:color="auto" w:fill="A6A6A6" w:themeFill="background1" w:themeFillShade="A6"/>
          </w:tcPr>
          <w:p w:rsidR="00F96668" w:rsidRPr="00F96668" w:rsidRDefault="00F96668" w:rsidP="00F44CF6">
            <w:pPr>
              <w:rPr>
                <w:sz w:val="18"/>
                <w:szCs w:val="18"/>
              </w:rPr>
            </w:pPr>
          </w:p>
        </w:tc>
        <w:tc>
          <w:tcPr>
            <w:tcW w:w="740" w:type="dxa"/>
            <w:shd w:val="clear" w:color="auto" w:fill="A6A6A6" w:themeFill="background1" w:themeFillShade="A6"/>
          </w:tcPr>
          <w:p w:rsidR="00F96668" w:rsidRPr="00F96668" w:rsidRDefault="00F96668" w:rsidP="00F44CF6">
            <w:pPr>
              <w:rPr>
                <w:sz w:val="18"/>
                <w:szCs w:val="18"/>
              </w:rPr>
            </w:pPr>
          </w:p>
        </w:tc>
      </w:tr>
    </w:tbl>
    <w:p w:rsidR="00DE44A0" w:rsidRDefault="00DE44A0" w:rsidP="00F44CF6"/>
    <w:p w:rsidR="00DD5D75" w:rsidRDefault="00DD5D75" w:rsidP="00F44CF6">
      <w:r>
        <w:t>Tidsplanen kan dog ændres undervejs i processen i takt med at metoder udvikles og analyser gennemføres.</w:t>
      </w:r>
      <w:r w:rsidR="00A8038E">
        <w:t xml:space="preserve"> </w:t>
      </w:r>
    </w:p>
    <w:p w:rsidR="006F245B" w:rsidRDefault="006F245B" w:rsidP="00F44CF6"/>
    <w:p w:rsidR="006F245B" w:rsidRPr="002C2B09" w:rsidRDefault="006F245B" w:rsidP="00F44CF6">
      <w:r>
        <w:t xml:space="preserve">Leverandøren forventes at kunne deltage i første møde i SOM Platform, som finder sted i </w:t>
      </w:r>
      <w:proofErr w:type="spellStart"/>
      <w:r>
        <w:t>Helsinki</w:t>
      </w:r>
      <w:proofErr w:type="spellEnd"/>
      <w:r>
        <w:t xml:space="preserve"> den 28. februar til 1. marts 2019. Miljø- og Fødevareministeriet deltager ligeledes i mødet.</w:t>
      </w:r>
    </w:p>
    <w:p w:rsidR="00BC1C77" w:rsidRDefault="004A3CA4" w:rsidP="002C2B09">
      <w:pPr>
        <w:pStyle w:val="Overskrift1"/>
      </w:pPr>
      <w:r>
        <w:t xml:space="preserve">Vederlagsstruktur og </w:t>
      </w:r>
      <w:r w:rsidR="002C2B09">
        <w:t>økonomiske ramme</w:t>
      </w:r>
    </w:p>
    <w:p w:rsidR="002C2B09" w:rsidRDefault="00A8038E" w:rsidP="002C2B09">
      <w:r>
        <w:t>Arbejdet afregnes efter medgåe</w:t>
      </w:r>
      <w:r w:rsidR="00997AA8">
        <w:t>t tid med en maksimal ramme på 5</w:t>
      </w:r>
      <w:r>
        <w:t>00.000 DKK</w:t>
      </w:r>
      <w:r w:rsidR="00997AA8">
        <w:t xml:space="preserve"> i 2019 og 400.000 DKK i 2020</w:t>
      </w:r>
      <w:r>
        <w:t>. Der afregnes hvert kvartal i hele kontraktens løbetid.</w:t>
      </w:r>
    </w:p>
    <w:p w:rsidR="008C1628" w:rsidRDefault="008C1628" w:rsidP="002C2B09"/>
    <w:p w:rsidR="008C1628" w:rsidRDefault="008C1628" w:rsidP="008C1628">
      <w:r>
        <w:t xml:space="preserve">Den vedlagte tilbudsliste bedes udfyldt med enhedspriser. Kun felterne med enhedspriser må redigeres i tilbudslisten. Alle enhedspriser skal prisfastsættes, og der må ikke tilføjes ekstra poster i tilbudslisten. Alle udlæg (f.eks. print, kopi, kørsel) skal være indeholdt i enhedspriserne. Alle priser opgives </w:t>
      </w:r>
      <w:proofErr w:type="spellStart"/>
      <w:r>
        <w:t>excl</w:t>
      </w:r>
      <w:proofErr w:type="spellEnd"/>
      <w:r>
        <w:t>. moms i danske kroner.</w:t>
      </w:r>
    </w:p>
    <w:p w:rsidR="002C2B09" w:rsidRDefault="002C2B09" w:rsidP="002C2B09">
      <w:pPr>
        <w:pStyle w:val="Overskrift1"/>
      </w:pPr>
      <w:r>
        <w:t>Rapportering og organisering</w:t>
      </w:r>
    </w:p>
    <w:p w:rsidR="002C2B09" w:rsidRDefault="004162F6" w:rsidP="004162F6">
      <w:pPr>
        <w:pStyle w:val="Overskrift2"/>
      </w:pPr>
      <w:r>
        <w:t>Projektets fremdrift</w:t>
      </w:r>
    </w:p>
    <w:p w:rsidR="004162F6" w:rsidRPr="004162F6" w:rsidRDefault="004162F6" w:rsidP="004162F6">
      <w:r>
        <w:t xml:space="preserve">Leverandøren </w:t>
      </w:r>
      <w:r w:rsidR="00CC070B">
        <w:t xml:space="preserve">skal </w:t>
      </w:r>
      <w:r>
        <w:t xml:space="preserve">have løbende mundtlig og skriftlig kontakt med Miljø- og Fødevareministeriet angående arbejdets fremdrift. Derudover </w:t>
      </w:r>
      <w:r w:rsidR="00CC070B">
        <w:t>skal</w:t>
      </w:r>
      <w:r>
        <w:t xml:space="preserve"> leverandøren give en kort skriftlig afrapportering af arbejdets fremdrift i forbindelse med den kvartalsvise afregning. </w:t>
      </w:r>
    </w:p>
    <w:p w:rsidR="004162F6" w:rsidRDefault="004162F6" w:rsidP="004162F6">
      <w:pPr>
        <w:pStyle w:val="Overskrift2"/>
      </w:pPr>
      <w:r>
        <w:t>Organisering</w:t>
      </w:r>
    </w:p>
    <w:p w:rsidR="004162F6" w:rsidRDefault="006F245B" w:rsidP="004162F6">
      <w:r>
        <w:t xml:space="preserve">Leverandøren </w:t>
      </w:r>
      <w:r w:rsidR="00CC070B">
        <w:t xml:space="preserve">skal </w:t>
      </w:r>
      <w:r>
        <w:t xml:space="preserve">stille eksperterne fra EN </w:t>
      </w:r>
      <w:proofErr w:type="spellStart"/>
      <w:r>
        <w:t>Noise</w:t>
      </w:r>
      <w:proofErr w:type="spellEnd"/>
      <w:r>
        <w:t xml:space="preserve">, EN </w:t>
      </w:r>
      <w:proofErr w:type="spellStart"/>
      <w:r>
        <w:t>Hazardous</w:t>
      </w:r>
      <w:proofErr w:type="spellEnd"/>
      <w:r>
        <w:t xml:space="preserve"> </w:t>
      </w:r>
      <w:proofErr w:type="spellStart"/>
      <w:r>
        <w:t>Substances</w:t>
      </w:r>
      <w:proofErr w:type="spellEnd"/>
      <w:r>
        <w:t xml:space="preserve"> og EN ESA til rådighed for dette arbejde – her kaldet de fagansvarlige. Det vil være disse fagansvarlige, der skal deltage aktivt i SOM Platform, og som har det overordnede ansvar for at de nødvendige analyser gennemføres i henhold til de metoder som udvikles i samarbejde med HELCOM ACTION </w:t>
      </w:r>
      <w:proofErr w:type="spellStart"/>
      <w:r>
        <w:t>project</w:t>
      </w:r>
      <w:proofErr w:type="spellEnd"/>
      <w:r>
        <w:t xml:space="preserve">.  </w:t>
      </w:r>
    </w:p>
    <w:p w:rsidR="006F245B" w:rsidRDefault="006F245B" w:rsidP="004162F6"/>
    <w:p w:rsidR="006F245B" w:rsidRDefault="006F245B" w:rsidP="004162F6">
      <w:r>
        <w:t xml:space="preserve">Ved gennemførelse af de egentlige analyser, kan andre eksperter inden for undervandsstøj, miljøfarlige stoffer og omkostningseffektivitet bidrage, såfremt de fagansvarlige fører tilsyn med </w:t>
      </w:r>
      <w:r w:rsidR="00982E86">
        <w:t xml:space="preserve">og kvalitetssikrer </w:t>
      </w:r>
      <w:r>
        <w:t>arbejdet.</w:t>
      </w:r>
    </w:p>
    <w:p w:rsidR="00982E86" w:rsidRDefault="00982E86" w:rsidP="004162F6"/>
    <w:p w:rsidR="008C1628" w:rsidRDefault="00982E86" w:rsidP="008C1628">
      <w:r>
        <w:t xml:space="preserve">Leverandøren </w:t>
      </w:r>
      <w:r w:rsidR="00CC070B">
        <w:t>skal</w:t>
      </w:r>
      <w:r>
        <w:t xml:space="preserve"> stille en projektleder til rådighed i hele kontraktens</w:t>
      </w:r>
      <w:r w:rsidR="00CC070B">
        <w:t xml:space="preserve"> løbetid</w:t>
      </w:r>
      <w:r>
        <w:t>.</w:t>
      </w:r>
      <w:r w:rsidR="008C1628" w:rsidRPr="008C1628">
        <w:t xml:space="preserve"> </w:t>
      </w:r>
      <w:r w:rsidR="008C1628">
        <w:t xml:space="preserve">Projektlederen har ansvar for arbejdets samlede fremdrift og indgår i tæt dialog med Miljø- og Fødevareministeriet. Projektlederen kan med fordel være en af de fagansvarlige. </w:t>
      </w:r>
    </w:p>
    <w:p w:rsidR="006F245B" w:rsidRDefault="006F245B" w:rsidP="004162F6"/>
    <w:p w:rsidR="006F245B" w:rsidRPr="004162F6" w:rsidRDefault="006F245B" w:rsidP="004162F6">
      <w:r>
        <w:t xml:space="preserve">Miljø- og Fødevareministeriet deltager </w:t>
      </w:r>
      <w:r w:rsidR="00A300D7">
        <w:t xml:space="preserve">som observatør </w:t>
      </w:r>
      <w:r>
        <w:t xml:space="preserve">i SOM Platform, </w:t>
      </w:r>
      <w:r w:rsidR="00A300D7">
        <w:t>og</w:t>
      </w:r>
      <w:r>
        <w:t xml:space="preserve"> bidrager ikke </w:t>
      </w:r>
      <w:r w:rsidR="00A300D7">
        <w:t>til gennemførelsen af analyser</w:t>
      </w:r>
      <w:r>
        <w:t xml:space="preserve">. </w:t>
      </w:r>
    </w:p>
    <w:p w:rsidR="008C1628" w:rsidRDefault="008C1628" w:rsidP="002C2B09"/>
    <w:p w:rsidR="004162F6" w:rsidRPr="002C2B09" w:rsidRDefault="004162F6" w:rsidP="002C2B09">
      <w:r>
        <w:t>Der nedsættes ikke en styregruppe.</w:t>
      </w:r>
    </w:p>
    <w:sectPr w:rsidR="004162F6" w:rsidRPr="002C2B09"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9E" w:rsidRDefault="0096299E">
      <w:r>
        <w:separator/>
      </w:r>
    </w:p>
  </w:endnote>
  <w:endnote w:type="continuationSeparator" w:id="0">
    <w:p w:rsidR="0096299E" w:rsidRDefault="0096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C2B09">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D6123C">
      <w:rPr>
        <w:rStyle w:val="Sidetal"/>
        <w:noProof/>
      </w:rPr>
      <w:t>3</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09" w:rsidRPr="002C2B09" w:rsidRDefault="002C2B09" w:rsidP="002C2B09">
    <w:pPr>
      <w:pStyle w:val="Template-Address"/>
    </w:pPr>
    <w:bookmarkStart w:id="21" w:name="OFF_Institution"/>
    <w:bookmarkStart w:id="22" w:name="OFF_InstitutionHIF"/>
    <w:bookmarkStart w:id="23" w:name="XIF_MMFirstAddressLine"/>
    <w:r w:rsidRPr="002C2B09">
      <w:t>Miljø- og Fødevareministeriet</w:t>
    </w:r>
    <w:bookmarkEnd w:id="21"/>
    <w:r w:rsidRPr="002C2B09">
      <w:t xml:space="preserve"> </w:t>
    </w:r>
    <w:bookmarkEnd w:id="22"/>
    <w:r w:rsidRPr="002C2B09">
      <w:t xml:space="preserve">• </w:t>
    </w:r>
    <w:bookmarkStart w:id="24" w:name="OFF_AddressA"/>
    <w:bookmarkStart w:id="25" w:name="OFF_AddressAHIF"/>
    <w:r w:rsidRPr="002C2B09">
      <w:t>Slotsholmsgade 12</w:t>
    </w:r>
    <w:bookmarkEnd w:id="24"/>
    <w:r w:rsidRPr="002C2B09">
      <w:t xml:space="preserve"> </w:t>
    </w:r>
    <w:bookmarkEnd w:id="25"/>
    <w:r w:rsidRPr="002C2B09">
      <w:rPr>
        <w:vanish/>
      </w:rPr>
      <w:t xml:space="preserve">• </w:t>
    </w:r>
    <w:bookmarkStart w:id="26" w:name="OFF_AddressB"/>
    <w:bookmarkStart w:id="27" w:name="OFF_AddressBHIF"/>
    <w:bookmarkEnd w:id="26"/>
    <w:r w:rsidRPr="002C2B09">
      <w:rPr>
        <w:vanish/>
      </w:rPr>
      <w:t xml:space="preserve"> </w:t>
    </w:r>
    <w:bookmarkEnd w:id="27"/>
    <w:r w:rsidRPr="002C2B09">
      <w:rPr>
        <w:vanish/>
      </w:rPr>
      <w:t xml:space="preserve">• </w:t>
    </w:r>
    <w:bookmarkStart w:id="28" w:name="OFF_AddressC"/>
    <w:bookmarkStart w:id="29" w:name="OFF_AddressCHIF"/>
    <w:bookmarkEnd w:id="28"/>
    <w:r w:rsidRPr="002C2B09">
      <w:rPr>
        <w:vanish/>
      </w:rPr>
      <w:t xml:space="preserve"> </w:t>
    </w:r>
    <w:bookmarkEnd w:id="29"/>
    <w:r w:rsidRPr="002C2B09">
      <w:t xml:space="preserve">• </w:t>
    </w:r>
    <w:bookmarkStart w:id="30" w:name="OFF_AddressD"/>
    <w:bookmarkStart w:id="31" w:name="OFF_AddressDHIF"/>
    <w:r w:rsidRPr="002C2B09">
      <w:t>1216</w:t>
    </w:r>
    <w:bookmarkEnd w:id="30"/>
    <w:r w:rsidRPr="002C2B09">
      <w:t xml:space="preserve"> </w:t>
    </w:r>
    <w:bookmarkStart w:id="32" w:name="OFF_City"/>
    <w:r w:rsidRPr="002C2B09">
      <w:t>København K</w:t>
    </w:r>
    <w:bookmarkEnd w:id="32"/>
    <w:r w:rsidRPr="002C2B09">
      <w:t xml:space="preserve"> </w:t>
    </w:r>
    <w:bookmarkEnd w:id="31"/>
  </w:p>
  <w:p w:rsidR="002C2B09" w:rsidRPr="00A129F5" w:rsidRDefault="002C2B09" w:rsidP="002C2B09">
    <w:pPr>
      <w:pStyle w:val="Template-Address"/>
      <w:rPr>
        <w:lang w:val="en-GB"/>
      </w:rPr>
    </w:pPr>
    <w:bookmarkStart w:id="33" w:name="LAN_Phone"/>
    <w:bookmarkStart w:id="34" w:name="OFF_PhoneHIF"/>
    <w:bookmarkStart w:id="35" w:name="XIF_MMSecondAddressLine"/>
    <w:bookmarkEnd w:id="23"/>
    <w:r w:rsidRPr="002C2B09">
      <w:rPr>
        <w:lang w:val="en-GB"/>
      </w:rPr>
      <w:t>Tlf.</w:t>
    </w:r>
    <w:bookmarkEnd w:id="33"/>
    <w:r w:rsidRPr="002C2B09">
      <w:rPr>
        <w:lang w:val="en-GB"/>
      </w:rPr>
      <w:t xml:space="preserve"> </w:t>
    </w:r>
    <w:bookmarkStart w:id="36" w:name="OFF_Phone"/>
    <w:r w:rsidRPr="002C2B09">
      <w:rPr>
        <w:lang w:val="en-GB"/>
      </w:rPr>
      <w:t>38 14 21 42</w:t>
    </w:r>
    <w:bookmarkEnd w:id="36"/>
    <w:r w:rsidRPr="002C2B09">
      <w:rPr>
        <w:lang w:val="en-GB"/>
      </w:rPr>
      <w:t xml:space="preserve"> </w:t>
    </w:r>
    <w:bookmarkEnd w:id="34"/>
    <w:r w:rsidRPr="002C2B09">
      <w:rPr>
        <w:lang w:val="en-GB"/>
      </w:rPr>
      <w:t xml:space="preserve">• </w:t>
    </w:r>
    <w:bookmarkStart w:id="37" w:name="LAN_Fax"/>
    <w:bookmarkStart w:id="38" w:name="OFF_FaxHIF"/>
    <w:r w:rsidRPr="002C2B09">
      <w:rPr>
        <w:lang w:val="en-GB"/>
      </w:rPr>
      <w:t>Fax</w:t>
    </w:r>
    <w:bookmarkEnd w:id="37"/>
    <w:r w:rsidRPr="002C2B09">
      <w:rPr>
        <w:lang w:val="en-GB"/>
      </w:rPr>
      <w:t xml:space="preserve"> </w:t>
    </w:r>
    <w:bookmarkStart w:id="39" w:name="OFF_Fax"/>
    <w:r w:rsidRPr="002C2B09">
      <w:rPr>
        <w:lang w:val="en-GB"/>
      </w:rPr>
      <w:t>33 14 50 42</w:t>
    </w:r>
    <w:bookmarkEnd w:id="39"/>
    <w:r w:rsidRPr="002C2B09">
      <w:rPr>
        <w:lang w:val="en-GB"/>
      </w:rPr>
      <w:t xml:space="preserve"> </w:t>
    </w:r>
    <w:bookmarkEnd w:id="38"/>
    <w:r w:rsidRPr="002C2B09">
      <w:rPr>
        <w:lang w:val="en-GB"/>
      </w:rPr>
      <w:t xml:space="preserve">• </w:t>
    </w:r>
    <w:bookmarkStart w:id="40" w:name="OFF_CVRHIF"/>
    <w:r w:rsidRPr="002C2B09">
      <w:rPr>
        <w:lang w:val="en-GB"/>
      </w:rPr>
      <w:t xml:space="preserve">CVR </w:t>
    </w:r>
    <w:bookmarkStart w:id="41" w:name="OFF_CVR"/>
    <w:r w:rsidRPr="002C2B09">
      <w:rPr>
        <w:lang w:val="en-GB"/>
      </w:rPr>
      <w:t>12854358</w:t>
    </w:r>
    <w:bookmarkEnd w:id="41"/>
    <w:r w:rsidRPr="002C2B09">
      <w:rPr>
        <w:lang w:val="en-GB"/>
      </w:rPr>
      <w:t xml:space="preserve"> </w:t>
    </w:r>
    <w:bookmarkEnd w:id="40"/>
    <w:r w:rsidRPr="002C2B09">
      <w:rPr>
        <w:lang w:val="en-GB"/>
      </w:rPr>
      <w:t xml:space="preserve">• </w:t>
    </w:r>
    <w:bookmarkStart w:id="42" w:name="OFF_EANHIF"/>
    <w:r w:rsidRPr="002C2B09">
      <w:rPr>
        <w:lang w:val="en-GB"/>
      </w:rPr>
      <w:t xml:space="preserve">EAN </w:t>
    </w:r>
    <w:bookmarkStart w:id="43" w:name="OFF_EAN"/>
    <w:r w:rsidRPr="002C2B09">
      <w:rPr>
        <w:lang w:val="en-GB"/>
      </w:rPr>
      <w:t>5798000862005</w:t>
    </w:r>
    <w:bookmarkEnd w:id="43"/>
    <w:r w:rsidRPr="002C2B09">
      <w:rPr>
        <w:lang w:val="en-GB"/>
      </w:rPr>
      <w:t xml:space="preserve"> </w:t>
    </w:r>
    <w:bookmarkEnd w:id="42"/>
    <w:r w:rsidRPr="002C2B09">
      <w:rPr>
        <w:lang w:val="en-GB"/>
      </w:rPr>
      <w:t xml:space="preserve">• </w:t>
    </w:r>
    <w:bookmarkStart w:id="44" w:name="OFF_Email"/>
    <w:bookmarkStart w:id="45" w:name="OFF_EmailHIF"/>
    <w:r w:rsidRPr="002C2B09">
      <w:rPr>
        <w:lang w:val="en-GB"/>
      </w:rPr>
      <w:t>mfvm@mfvm.dk</w:t>
    </w:r>
    <w:bookmarkEnd w:id="44"/>
    <w:r w:rsidRPr="002C2B09">
      <w:rPr>
        <w:lang w:val="en-GB"/>
      </w:rPr>
      <w:t xml:space="preserve"> </w:t>
    </w:r>
    <w:bookmarkEnd w:id="45"/>
    <w:r w:rsidRPr="002C2B09">
      <w:rPr>
        <w:lang w:val="en-GB"/>
      </w:rPr>
      <w:t xml:space="preserve">• </w:t>
    </w:r>
    <w:bookmarkStart w:id="46" w:name="OFF_Web"/>
    <w:bookmarkStart w:id="47" w:name="OFF_WebHIF"/>
    <w:r w:rsidRPr="002C2B09">
      <w:rPr>
        <w:lang w:val="en-GB"/>
      </w:rPr>
      <w:t>www.mfvm.dk</w:t>
    </w:r>
    <w:bookmarkEnd w:id="46"/>
    <w:r w:rsidRPr="002C2B09">
      <w:rPr>
        <w:lang w:val="en-GB"/>
      </w:rPr>
      <w:t xml:space="preserve"> </w:t>
    </w:r>
    <w:bookmarkEnd w:id="35"/>
    <w:bookmarkEnd w:id="47"/>
  </w:p>
  <w:p w:rsidR="0048667B" w:rsidRPr="002C2B09" w:rsidRDefault="0048667B" w:rsidP="002C2B09">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9E" w:rsidRDefault="0096299E">
      <w:r>
        <w:separator/>
      </w:r>
    </w:p>
  </w:footnote>
  <w:footnote w:type="continuationSeparator" w:id="0">
    <w:p w:rsidR="0096299E" w:rsidRDefault="0096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09" w:rsidRPr="00925DF9" w:rsidRDefault="002C2B09" w:rsidP="002C2B09">
    <w:pPr>
      <w:rPr>
        <w:lang w:val="en-GB"/>
      </w:rPr>
    </w:pPr>
    <w:bookmarkStart w:id="2" w:name="FLD_DocumentName"/>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8896" cy="79248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2480"/>
                  </a:xfrm>
                  <a:prstGeom prst="rect">
                    <a:avLst/>
                  </a:prstGeom>
                </pic:spPr>
              </pic:pic>
            </a:graphicData>
          </a:graphic>
          <wp14:sizeRelH relativeFrom="page">
            <wp14:pctWidth>0</wp14:pctWidth>
          </wp14:sizeRelH>
          <wp14:sizeRelV relativeFrom="page">
            <wp14:pctHeight>0</wp14:pctHeight>
          </wp14:sizeRelV>
        </wp:anchor>
      </w:drawing>
    </w:r>
    <w:r w:rsidRPr="00925DF9">
      <w:rPr>
        <w:noProof/>
      </w:rPr>
      <mc:AlternateContent>
        <mc:Choice Requires="wps">
          <w:drawing>
            <wp:anchor distT="0" distB="0" distL="114300" distR="114300" simplePos="0" relativeHeight="251659264" behindDoc="0" locked="1" layoutInCell="1" allowOverlap="1" wp14:anchorId="7A52E13D" wp14:editId="5897C8DC">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2C2B09">
                            <w:trPr>
                              <w:cantSplit/>
                              <w:trHeight w:val="2778"/>
                            </w:trPr>
                            <w:tc>
                              <w:tcPr>
                                <w:tcW w:w="2755" w:type="dxa"/>
                                <w:tcMar>
                                  <w:top w:w="34" w:type="dxa"/>
                                  <w:left w:w="0" w:type="dxa"/>
                                  <w:bottom w:w="28" w:type="dxa"/>
                                  <w:right w:w="0" w:type="dxa"/>
                                </w:tcMar>
                              </w:tcPr>
                              <w:p w:rsidR="002C2B09" w:rsidRPr="002C2B09" w:rsidRDefault="002C2B09">
                                <w:pPr>
                                  <w:pStyle w:val="Kolofontekst"/>
                                </w:pPr>
                                <w:bookmarkStart w:id="3" w:name="OFF_Department"/>
                                <w:bookmarkStart w:id="4" w:name="OFF_DepartmentHIF"/>
                                <w:r w:rsidRPr="002C2B09">
                                  <w:t>Vand og Hav</w:t>
                                </w:r>
                                <w:bookmarkEnd w:id="3"/>
                              </w:p>
                              <w:p w:rsidR="002C2B09" w:rsidRPr="002C2B09" w:rsidRDefault="002C2B09">
                                <w:pPr>
                                  <w:pStyle w:val="Kolofontekst"/>
                                  <w:rPr>
                                    <w:vanish/>
                                  </w:rPr>
                                </w:pPr>
                                <w:bookmarkStart w:id="5" w:name="LAN_CaseNo"/>
                                <w:bookmarkStart w:id="6" w:name="sagsnrHIF"/>
                                <w:bookmarkEnd w:id="4"/>
                                <w:r w:rsidRPr="002C2B09">
                                  <w:rPr>
                                    <w:vanish/>
                                  </w:rPr>
                                  <w:t>J.nr.</w:t>
                                </w:r>
                                <w:bookmarkEnd w:id="5"/>
                                <w:r w:rsidRPr="002C2B09">
                                  <w:rPr>
                                    <w:vanish/>
                                  </w:rPr>
                                  <w:t xml:space="preserve"> </w:t>
                                </w:r>
                                <w:bookmarkStart w:id="7" w:name="sagsnr"/>
                                <w:bookmarkEnd w:id="7"/>
                              </w:p>
                              <w:p w:rsidR="002C2B09" w:rsidRPr="002C2B09" w:rsidRDefault="002C2B09">
                                <w:pPr>
                                  <w:pStyle w:val="Kolofontekst"/>
                                </w:pPr>
                                <w:bookmarkStart w:id="8" w:name="LAN_Ref"/>
                                <w:bookmarkStart w:id="9" w:name="USR_InitialsHIF"/>
                                <w:bookmarkEnd w:id="6"/>
                                <w:r w:rsidRPr="002C2B09">
                                  <w:t>Ref.</w:t>
                                </w:r>
                                <w:bookmarkEnd w:id="8"/>
                                <w:r w:rsidRPr="002C2B09">
                                  <w:t xml:space="preserve"> </w:t>
                                </w:r>
                                <w:bookmarkStart w:id="10" w:name="USR_Initials"/>
                                <w:r w:rsidRPr="002C2B09">
                                  <w:t>LIBHA</w:t>
                                </w:r>
                                <w:bookmarkEnd w:id="10"/>
                              </w:p>
                              <w:p w:rsidR="002C2B09" w:rsidRDefault="002C2B09" w:rsidP="002C569E">
                                <w:pPr>
                                  <w:pStyle w:val="Kolofontekst"/>
                                </w:pPr>
                                <w:bookmarkStart w:id="11" w:name="FLD_DocumentDate"/>
                                <w:bookmarkEnd w:id="9"/>
                                <w:r>
                                  <w:t xml:space="preserve">Den 8. </w:t>
                                </w:r>
                                <w:r w:rsidR="002C569E">
                                  <w:t xml:space="preserve">februar </w:t>
                                </w:r>
                                <w:r>
                                  <w:t>2019</w:t>
                                </w:r>
                                <w:bookmarkEnd w:id="11"/>
                              </w:p>
                            </w:tc>
                          </w:tr>
                        </w:tbl>
                        <w:p w:rsidR="002C2B09" w:rsidRDefault="002C2B09" w:rsidP="002C2B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2C2B09">
                      <w:trPr>
                        <w:cantSplit/>
                        <w:trHeight w:val="2778"/>
                      </w:trPr>
                      <w:tc>
                        <w:tcPr>
                          <w:tcW w:w="2755" w:type="dxa"/>
                          <w:tcMar>
                            <w:top w:w="34" w:type="dxa"/>
                            <w:left w:w="0" w:type="dxa"/>
                            <w:bottom w:w="28" w:type="dxa"/>
                            <w:right w:w="0" w:type="dxa"/>
                          </w:tcMar>
                        </w:tcPr>
                        <w:p w:rsidR="002C2B09" w:rsidRPr="002C2B09" w:rsidRDefault="002C2B09">
                          <w:pPr>
                            <w:pStyle w:val="Kolofontekst"/>
                          </w:pPr>
                          <w:bookmarkStart w:id="12" w:name="OFF_Department"/>
                          <w:bookmarkStart w:id="13" w:name="OFF_DepartmentHIF"/>
                          <w:r w:rsidRPr="002C2B09">
                            <w:t>Vand og Hav</w:t>
                          </w:r>
                          <w:bookmarkEnd w:id="12"/>
                        </w:p>
                        <w:p w:rsidR="002C2B09" w:rsidRPr="002C2B09" w:rsidRDefault="002C2B09">
                          <w:pPr>
                            <w:pStyle w:val="Kolofontekst"/>
                            <w:rPr>
                              <w:vanish/>
                            </w:rPr>
                          </w:pPr>
                          <w:bookmarkStart w:id="14" w:name="LAN_CaseNo"/>
                          <w:bookmarkStart w:id="15" w:name="sagsnrHIF"/>
                          <w:bookmarkEnd w:id="13"/>
                          <w:r w:rsidRPr="002C2B09">
                            <w:rPr>
                              <w:vanish/>
                            </w:rPr>
                            <w:t>J.nr.</w:t>
                          </w:r>
                          <w:bookmarkEnd w:id="14"/>
                          <w:r w:rsidRPr="002C2B09">
                            <w:rPr>
                              <w:vanish/>
                            </w:rPr>
                            <w:t xml:space="preserve"> </w:t>
                          </w:r>
                          <w:bookmarkStart w:id="16" w:name="sagsnr"/>
                          <w:bookmarkEnd w:id="16"/>
                        </w:p>
                        <w:p w:rsidR="002C2B09" w:rsidRPr="002C2B09" w:rsidRDefault="002C2B09">
                          <w:pPr>
                            <w:pStyle w:val="Kolofontekst"/>
                          </w:pPr>
                          <w:bookmarkStart w:id="17" w:name="LAN_Ref"/>
                          <w:bookmarkStart w:id="18" w:name="USR_InitialsHIF"/>
                          <w:bookmarkEnd w:id="15"/>
                          <w:r w:rsidRPr="002C2B09">
                            <w:t>Ref.</w:t>
                          </w:r>
                          <w:bookmarkEnd w:id="17"/>
                          <w:r w:rsidRPr="002C2B09">
                            <w:t xml:space="preserve"> </w:t>
                          </w:r>
                          <w:bookmarkStart w:id="19" w:name="USR_Initials"/>
                          <w:r w:rsidRPr="002C2B09">
                            <w:t>LIBHA</w:t>
                          </w:r>
                          <w:bookmarkEnd w:id="19"/>
                        </w:p>
                        <w:p w:rsidR="002C2B09" w:rsidRDefault="002C2B09" w:rsidP="002C569E">
                          <w:pPr>
                            <w:pStyle w:val="Kolofontekst"/>
                          </w:pPr>
                          <w:bookmarkStart w:id="20" w:name="FLD_DocumentDate"/>
                          <w:bookmarkEnd w:id="18"/>
                          <w:r>
                            <w:t xml:space="preserve">Den 8. </w:t>
                          </w:r>
                          <w:r w:rsidR="002C569E">
                            <w:t xml:space="preserve">februar </w:t>
                          </w:r>
                          <w:r>
                            <w:t>2019</w:t>
                          </w:r>
                          <w:bookmarkEnd w:id="20"/>
                        </w:p>
                      </w:tc>
                    </w:tr>
                  </w:tbl>
                  <w:p w:rsidR="002C2B09" w:rsidRDefault="002C2B09" w:rsidP="002C2B09"/>
                </w:txbxContent>
              </v:textbox>
              <w10:wrap anchorx="margin" anchory="page"/>
              <w10:anchorlock/>
            </v:shape>
          </w:pict>
        </mc:Fallback>
      </mc:AlternateContent>
    </w:r>
  </w:p>
  <w:p w:rsidR="00A51DBA" w:rsidRDefault="002C2B09" w:rsidP="00CF1627">
    <w:pPr>
      <w:pStyle w:val="DocumentName"/>
    </w:pPr>
    <w:r>
      <w:t>Notat</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1C1B7012"/>
    <w:multiLevelType w:val="hybridMultilevel"/>
    <w:tmpl w:val="0F0C8C52"/>
    <w:lvl w:ilvl="0" w:tplc="6ACA447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2FB5021"/>
    <w:multiLevelType w:val="hybridMultilevel"/>
    <w:tmpl w:val="D80E4E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09"/>
    <w:rsid w:val="00002EA0"/>
    <w:rsid w:val="00003636"/>
    <w:rsid w:val="00005FAA"/>
    <w:rsid w:val="00010163"/>
    <w:rsid w:val="0001457C"/>
    <w:rsid w:val="0001528D"/>
    <w:rsid w:val="000166A0"/>
    <w:rsid w:val="00030051"/>
    <w:rsid w:val="00037E7E"/>
    <w:rsid w:val="00060BC5"/>
    <w:rsid w:val="000647F2"/>
    <w:rsid w:val="00070BA1"/>
    <w:rsid w:val="00073466"/>
    <w:rsid w:val="00074F1A"/>
    <w:rsid w:val="000758FD"/>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AB6"/>
    <w:rsid w:val="000E3992"/>
    <w:rsid w:val="000E4332"/>
    <w:rsid w:val="000E717B"/>
    <w:rsid w:val="000F0B81"/>
    <w:rsid w:val="00103AB7"/>
    <w:rsid w:val="001062D0"/>
    <w:rsid w:val="00114DE6"/>
    <w:rsid w:val="001210A9"/>
    <w:rsid w:val="00131DB2"/>
    <w:rsid w:val="00133780"/>
    <w:rsid w:val="001354CC"/>
    <w:rsid w:val="0014150F"/>
    <w:rsid w:val="00144670"/>
    <w:rsid w:val="00145201"/>
    <w:rsid w:val="0014616C"/>
    <w:rsid w:val="00147799"/>
    <w:rsid w:val="00150899"/>
    <w:rsid w:val="00152CB8"/>
    <w:rsid w:val="00156908"/>
    <w:rsid w:val="00160721"/>
    <w:rsid w:val="001743E7"/>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763E"/>
    <w:rsid w:val="00200B86"/>
    <w:rsid w:val="0020134B"/>
    <w:rsid w:val="0020402C"/>
    <w:rsid w:val="002044E3"/>
    <w:rsid w:val="00204BF4"/>
    <w:rsid w:val="00207F46"/>
    <w:rsid w:val="00211AC9"/>
    <w:rsid w:val="00212497"/>
    <w:rsid w:val="002239C6"/>
    <w:rsid w:val="00225534"/>
    <w:rsid w:val="00235C1F"/>
    <w:rsid w:val="002366E2"/>
    <w:rsid w:val="00241E0B"/>
    <w:rsid w:val="0025235E"/>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265A"/>
    <w:rsid w:val="002C2B09"/>
    <w:rsid w:val="002C4595"/>
    <w:rsid w:val="002C4D00"/>
    <w:rsid w:val="002C569E"/>
    <w:rsid w:val="002D00C9"/>
    <w:rsid w:val="002D268E"/>
    <w:rsid w:val="002D7F0F"/>
    <w:rsid w:val="003001A2"/>
    <w:rsid w:val="00310770"/>
    <w:rsid w:val="00310C3C"/>
    <w:rsid w:val="00313642"/>
    <w:rsid w:val="00315AC9"/>
    <w:rsid w:val="00320951"/>
    <w:rsid w:val="003209AA"/>
    <w:rsid w:val="00322BBE"/>
    <w:rsid w:val="00326ED5"/>
    <w:rsid w:val="00331970"/>
    <w:rsid w:val="00334562"/>
    <w:rsid w:val="0033766B"/>
    <w:rsid w:val="00343A37"/>
    <w:rsid w:val="00345FA9"/>
    <w:rsid w:val="003465B4"/>
    <w:rsid w:val="00350582"/>
    <w:rsid w:val="00353FAA"/>
    <w:rsid w:val="003558D9"/>
    <w:rsid w:val="003612C5"/>
    <w:rsid w:val="00362EAC"/>
    <w:rsid w:val="003636BF"/>
    <w:rsid w:val="00365BC4"/>
    <w:rsid w:val="003819FF"/>
    <w:rsid w:val="00385C06"/>
    <w:rsid w:val="003864CC"/>
    <w:rsid w:val="00386D0C"/>
    <w:rsid w:val="003966D8"/>
    <w:rsid w:val="00397271"/>
    <w:rsid w:val="003A3350"/>
    <w:rsid w:val="003A3369"/>
    <w:rsid w:val="003A44A9"/>
    <w:rsid w:val="003B19B2"/>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162F6"/>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3CA4"/>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1C26"/>
    <w:rsid w:val="00576B90"/>
    <w:rsid w:val="0058155D"/>
    <w:rsid w:val="00590A5B"/>
    <w:rsid w:val="00590C13"/>
    <w:rsid w:val="0059119E"/>
    <w:rsid w:val="0059175F"/>
    <w:rsid w:val="0059560E"/>
    <w:rsid w:val="00596C25"/>
    <w:rsid w:val="005A01E1"/>
    <w:rsid w:val="005A0290"/>
    <w:rsid w:val="005A1F29"/>
    <w:rsid w:val="005A29CB"/>
    <w:rsid w:val="005A50B9"/>
    <w:rsid w:val="005A5BA8"/>
    <w:rsid w:val="005C51A1"/>
    <w:rsid w:val="005D2B26"/>
    <w:rsid w:val="005D3CF2"/>
    <w:rsid w:val="005D543F"/>
    <w:rsid w:val="005D7152"/>
    <w:rsid w:val="005E352B"/>
    <w:rsid w:val="005E4484"/>
    <w:rsid w:val="005F172E"/>
    <w:rsid w:val="005F4497"/>
    <w:rsid w:val="005F61FB"/>
    <w:rsid w:val="00604DC5"/>
    <w:rsid w:val="006067F0"/>
    <w:rsid w:val="006079D5"/>
    <w:rsid w:val="00610541"/>
    <w:rsid w:val="00610A43"/>
    <w:rsid w:val="00612296"/>
    <w:rsid w:val="006161E8"/>
    <w:rsid w:val="006217FF"/>
    <w:rsid w:val="00621E1D"/>
    <w:rsid w:val="00623A75"/>
    <w:rsid w:val="00632709"/>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D4B86"/>
    <w:rsid w:val="006E7F1D"/>
    <w:rsid w:val="006F245B"/>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1628"/>
    <w:rsid w:val="008C5F4A"/>
    <w:rsid w:val="008E3990"/>
    <w:rsid w:val="008F272E"/>
    <w:rsid w:val="008F6B2B"/>
    <w:rsid w:val="00905C37"/>
    <w:rsid w:val="00906916"/>
    <w:rsid w:val="00924C88"/>
    <w:rsid w:val="0092514B"/>
    <w:rsid w:val="009264AA"/>
    <w:rsid w:val="00933239"/>
    <w:rsid w:val="009354A9"/>
    <w:rsid w:val="00944EE8"/>
    <w:rsid w:val="009461F0"/>
    <w:rsid w:val="009601F5"/>
    <w:rsid w:val="0096299E"/>
    <w:rsid w:val="00963E43"/>
    <w:rsid w:val="00970F21"/>
    <w:rsid w:val="00975F3B"/>
    <w:rsid w:val="00982E86"/>
    <w:rsid w:val="0098382A"/>
    <w:rsid w:val="0099338A"/>
    <w:rsid w:val="009943CD"/>
    <w:rsid w:val="00994E91"/>
    <w:rsid w:val="00996EB2"/>
    <w:rsid w:val="00997AA8"/>
    <w:rsid w:val="009C37F8"/>
    <w:rsid w:val="009C6BB2"/>
    <w:rsid w:val="009E27B6"/>
    <w:rsid w:val="009E7920"/>
    <w:rsid w:val="009F368F"/>
    <w:rsid w:val="009F4367"/>
    <w:rsid w:val="009F7033"/>
    <w:rsid w:val="00A03CE6"/>
    <w:rsid w:val="00A03E48"/>
    <w:rsid w:val="00A11F5A"/>
    <w:rsid w:val="00A158CB"/>
    <w:rsid w:val="00A300D7"/>
    <w:rsid w:val="00A34B40"/>
    <w:rsid w:val="00A36292"/>
    <w:rsid w:val="00A36D64"/>
    <w:rsid w:val="00A44A6B"/>
    <w:rsid w:val="00A51DBA"/>
    <w:rsid w:val="00A5408B"/>
    <w:rsid w:val="00A556CE"/>
    <w:rsid w:val="00A67D37"/>
    <w:rsid w:val="00A72DDE"/>
    <w:rsid w:val="00A8038E"/>
    <w:rsid w:val="00A85ECD"/>
    <w:rsid w:val="00A923E2"/>
    <w:rsid w:val="00A964CE"/>
    <w:rsid w:val="00A96C60"/>
    <w:rsid w:val="00AA4437"/>
    <w:rsid w:val="00AB363A"/>
    <w:rsid w:val="00AC1C1C"/>
    <w:rsid w:val="00AC35D6"/>
    <w:rsid w:val="00AD678B"/>
    <w:rsid w:val="00AE41A1"/>
    <w:rsid w:val="00AE5A17"/>
    <w:rsid w:val="00AF5AF6"/>
    <w:rsid w:val="00B13BB6"/>
    <w:rsid w:val="00B2565D"/>
    <w:rsid w:val="00B30727"/>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0231"/>
    <w:rsid w:val="00C617FE"/>
    <w:rsid w:val="00C64F3D"/>
    <w:rsid w:val="00C678B6"/>
    <w:rsid w:val="00C7051E"/>
    <w:rsid w:val="00C70BEA"/>
    <w:rsid w:val="00C71B04"/>
    <w:rsid w:val="00C766CC"/>
    <w:rsid w:val="00C76B7D"/>
    <w:rsid w:val="00C8406C"/>
    <w:rsid w:val="00C87AAA"/>
    <w:rsid w:val="00CA543F"/>
    <w:rsid w:val="00CA6429"/>
    <w:rsid w:val="00CA6ADF"/>
    <w:rsid w:val="00CB5C14"/>
    <w:rsid w:val="00CC070B"/>
    <w:rsid w:val="00CC12A8"/>
    <w:rsid w:val="00CC6892"/>
    <w:rsid w:val="00CC77A5"/>
    <w:rsid w:val="00CD31FE"/>
    <w:rsid w:val="00CD4F1D"/>
    <w:rsid w:val="00CE1EC6"/>
    <w:rsid w:val="00CE5201"/>
    <w:rsid w:val="00CF1627"/>
    <w:rsid w:val="00CF2263"/>
    <w:rsid w:val="00CF760D"/>
    <w:rsid w:val="00D008ED"/>
    <w:rsid w:val="00D01984"/>
    <w:rsid w:val="00D01EDA"/>
    <w:rsid w:val="00D16472"/>
    <w:rsid w:val="00D321C9"/>
    <w:rsid w:val="00D37FC2"/>
    <w:rsid w:val="00D43DB0"/>
    <w:rsid w:val="00D570C5"/>
    <w:rsid w:val="00D6123C"/>
    <w:rsid w:val="00D83CD8"/>
    <w:rsid w:val="00D922CF"/>
    <w:rsid w:val="00D951B4"/>
    <w:rsid w:val="00DA32B3"/>
    <w:rsid w:val="00DA6734"/>
    <w:rsid w:val="00DB56B3"/>
    <w:rsid w:val="00DD5D75"/>
    <w:rsid w:val="00DE24BE"/>
    <w:rsid w:val="00DE44A0"/>
    <w:rsid w:val="00DE5B21"/>
    <w:rsid w:val="00DE7479"/>
    <w:rsid w:val="00DF128B"/>
    <w:rsid w:val="00DF2F94"/>
    <w:rsid w:val="00DF5B70"/>
    <w:rsid w:val="00E11688"/>
    <w:rsid w:val="00E26EAA"/>
    <w:rsid w:val="00E27CC3"/>
    <w:rsid w:val="00E30FCA"/>
    <w:rsid w:val="00E36F97"/>
    <w:rsid w:val="00E42057"/>
    <w:rsid w:val="00E44C4F"/>
    <w:rsid w:val="00E46DA0"/>
    <w:rsid w:val="00E62BEE"/>
    <w:rsid w:val="00E63075"/>
    <w:rsid w:val="00E644BF"/>
    <w:rsid w:val="00E73A40"/>
    <w:rsid w:val="00E806E3"/>
    <w:rsid w:val="00E81697"/>
    <w:rsid w:val="00E83744"/>
    <w:rsid w:val="00E83A38"/>
    <w:rsid w:val="00E928D4"/>
    <w:rsid w:val="00E94852"/>
    <w:rsid w:val="00EA4D25"/>
    <w:rsid w:val="00EA576F"/>
    <w:rsid w:val="00EB0255"/>
    <w:rsid w:val="00EB3838"/>
    <w:rsid w:val="00EB4C77"/>
    <w:rsid w:val="00EB68CC"/>
    <w:rsid w:val="00EC2095"/>
    <w:rsid w:val="00EC5E51"/>
    <w:rsid w:val="00EC76B0"/>
    <w:rsid w:val="00ED48AE"/>
    <w:rsid w:val="00EE07E3"/>
    <w:rsid w:val="00EE65A7"/>
    <w:rsid w:val="00EF48EC"/>
    <w:rsid w:val="00EF6016"/>
    <w:rsid w:val="00F002DC"/>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352"/>
    <w:rsid w:val="00F922ED"/>
    <w:rsid w:val="00F96668"/>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Notat.dotx</Template>
  <TotalTime>0</TotalTime>
  <Pages>3</Pages>
  <Words>1085</Words>
  <Characters>6625</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Linda Bistrup Halvorsen</dc:creator>
  <cp:lastModifiedBy>Lone Bjerregaard</cp:lastModifiedBy>
  <cp:revision>2</cp:revision>
  <cp:lastPrinted>2005-05-20T12:11:00Z</cp:lastPrinted>
  <dcterms:created xsi:type="dcterms:W3CDTF">2019-02-08T10:46:00Z</dcterms:created>
  <dcterms:modified xsi:type="dcterms:W3CDTF">2019-02-08T10:46:00Z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43473</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libha</vt:lpwstr>
  </property>
  <property fmtid="{D5CDD505-2E9C-101B-9397-08002B2CF9AE}" pid="17" name="SD_CtlText_Generelt_CaseNo">
    <vt:lpwstr/>
  </property>
  <property fmtid="{D5CDD505-2E9C-101B-9397-08002B2CF9AE}" pid="18" name="SD_UserprofileName">
    <vt:lpwstr>libha</vt:lpwstr>
  </property>
  <property fmtid="{D5CDD505-2E9C-101B-9397-08002B2CF9AE}" pid="19" name="SD_Office_OFF_ID">
    <vt:lpwstr>137</vt:lpwstr>
  </property>
  <property fmtid="{D5CDD505-2E9C-101B-9397-08002B2CF9AE}" pid="20" name="CurrentOfficeID">
    <vt:lpwstr>137</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Vand og Hav</vt:lpwstr>
  </property>
  <property fmtid="{D5CDD505-2E9C-101B-9397-08002B2CF9AE}" pid="27" name="SD_Office_OFF_Department">
    <vt:lpwstr>Vand og Hav</vt:lpwstr>
  </property>
  <property fmtid="{D5CDD505-2E9C-101B-9397-08002B2CF9AE}" pid="28" name="SD_Office_OFF_Department_EN">
    <vt:lpwstr>Vand og Hav</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Linda Bistrup Halvorsen</vt:lpwstr>
  </property>
  <property fmtid="{D5CDD505-2E9C-101B-9397-08002B2CF9AE}" pid="49" name="USR_Initials">
    <vt:lpwstr>LIBHA</vt:lpwstr>
  </property>
  <property fmtid="{D5CDD505-2E9C-101B-9397-08002B2CF9AE}" pid="50" name="USR_Title">
    <vt:lpwstr>Fuldmægtig</vt:lpwstr>
  </property>
  <property fmtid="{D5CDD505-2E9C-101B-9397-08002B2CF9AE}" pid="51" name="USR_DirectPhone">
    <vt:lpwstr>+45 22 73 30 18</vt:lpwstr>
  </property>
  <property fmtid="{D5CDD505-2E9C-101B-9397-08002B2CF9AE}" pid="52" name="USR_Mobile">
    <vt:lpwstr>+45 22 73 30 18</vt:lpwstr>
  </property>
  <property fmtid="{D5CDD505-2E9C-101B-9397-08002B2CF9AE}" pid="53" name="USR_Email">
    <vt:lpwstr>libha@mfvm.dk</vt:lpwstr>
  </property>
  <property fmtid="{D5CDD505-2E9C-101B-9397-08002B2CF9AE}" pid="54" name="DocumentInfoFinished">
    <vt:lpwstr>True</vt:lpwstr>
  </property>
</Properties>
</file>