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1469" w14:textId="2A310C5C" w:rsidR="00F01F3A" w:rsidRPr="00D41326" w:rsidRDefault="00F01F3A" w:rsidP="00F01F3A">
      <w:pPr>
        <w:pStyle w:val="Titel"/>
        <w:rPr>
          <w:rFonts w:ascii="KBH" w:hAnsi="KBH"/>
        </w:rPr>
      </w:pPr>
      <w:r w:rsidRPr="00D41326">
        <w:rPr>
          <w:rFonts w:ascii="KBH" w:hAnsi="KBH"/>
        </w:rPr>
        <w:t xml:space="preserve">Bilag </w:t>
      </w:r>
      <w:r>
        <w:rPr>
          <w:rFonts w:ascii="KBH" w:hAnsi="KBH"/>
        </w:rPr>
        <w:t>7</w:t>
      </w:r>
    </w:p>
    <w:p w14:paraId="29D7C4A1" w14:textId="320C5CA5" w:rsidR="00F01F3A" w:rsidRDefault="00F01F3A" w:rsidP="00F01F3A">
      <w:pPr>
        <w:pStyle w:val="Titel"/>
        <w:rPr>
          <w:rFonts w:ascii="KBH" w:hAnsi="KBH"/>
        </w:rPr>
      </w:pPr>
      <w:r>
        <w:rPr>
          <w:rFonts w:ascii="KBH" w:hAnsi="KBH"/>
        </w:rPr>
        <w:t>Prisbilag</w:t>
      </w:r>
    </w:p>
    <w:p w14:paraId="559F2F13" w14:textId="77777777" w:rsidR="00F01F3A" w:rsidRPr="00093013" w:rsidRDefault="00F01F3A" w:rsidP="00F01F3A"/>
    <w:sdt>
      <w:sdtPr>
        <w:rPr>
          <w:rFonts w:ascii="KBH" w:eastAsiaTheme="minorHAnsi" w:hAnsi="KBH" w:cstheme="minorBidi"/>
          <w:color w:val="auto"/>
          <w:sz w:val="18"/>
          <w:szCs w:val="22"/>
          <w:lang w:eastAsia="en-US"/>
        </w:rPr>
        <w:id w:val="-19422127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DDDCE5" w14:textId="77777777" w:rsidR="00F01F3A" w:rsidRDefault="00F01F3A" w:rsidP="00F01F3A">
          <w:pPr>
            <w:pStyle w:val="Overskrift"/>
          </w:pPr>
          <w:r>
            <w:t>Indhold</w:t>
          </w:r>
        </w:p>
        <w:p w14:paraId="10A40033" w14:textId="56CCB434" w:rsidR="000963CC" w:rsidRDefault="00F01F3A">
          <w:pPr>
            <w:pStyle w:val="Indholdsfortegnelse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82866" w:history="1">
            <w:r w:rsidR="000963CC" w:rsidRPr="006563D2">
              <w:rPr>
                <w:rStyle w:val="Hyperlink"/>
                <w:rFonts w:cs="Times New Roman"/>
                <w:noProof/>
              </w:rPr>
              <w:t>1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Generelt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_Toc72482866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7EA86C88" w14:textId="31F00EE5" w:rsidR="000963CC" w:rsidRDefault="00E0350B">
          <w:pPr>
            <w:pStyle w:val="Indholdsfortegnelse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72482867" w:history="1">
            <w:r w:rsidR="000963CC" w:rsidRPr="006563D2">
              <w:rPr>
                <w:rStyle w:val="Hyperlink"/>
                <w:rFonts w:cs="Times New Roman"/>
                <w:noProof/>
              </w:rPr>
              <w:t>2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Priser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_Toc72482867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1E588C9A" w14:textId="2FFF2F90" w:rsidR="000963CC" w:rsidRDefault="00E0350B">
          <w:pPr>
            <w:pStyle w:val="Indholdsfortegnelse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72482868" w:history="1">
            <w:r w:rsidR="000963CC" w:rsidRPr="006563D2">
              <w:rPr>
                <w:rStyle w:val="Hyperlink"/>
                <w:rFonts w:cs="Times New Roman"/>
                <w:noProof/>
              </w:rPr>
              <w:t>2.1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Programmel/licens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_Toc72482868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4616B8B3" w14:textId="58B491D7" w:rsidR="000963CC" w:rsidRDefault="00E0350B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72482869" w:history="1">
            <w:r w:rsidR="000963CC" w:rsidRPr="006563D2">
              <w:rPr>
                <w:rStyle w:val="Hyperlink"/>
                <w:rFonts w:cs="Times New Roman"/>
                <w:noProof/>
              </w:rPr>
              <w:t>2.2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Datakonvertering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_Toc72482869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70B8932D" w14:textId="3B23C7A4" w:rsidR="000963CC" w:rsidRDefault="00E0350B">
          <w:pPr>
            <w:pStyle w:val="Indholdsfortegnelse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72482870" w:history="1">
            <w:r w:rsidR="000963CC" w:rsidRPr="006563D2">
              <w:rPr>
                <w:rStyle w:val="Hyperlink"/>
                <w:rFonts w:cs="Times New Roman"/>
                <w:noProof/>
              </w:rPr>
              <w:t>2.3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Support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_Toc72482870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73F3119E" w14:textId="1719A0C9" w:rsidR="000963CC" w:rsidRDefault="00E0350B">
          <w:pPr>
            <w:pStyle w:val="Indholdsfortegnelse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72482871" w:history="1">
            <w:r w:rsidR="000963CC" w:rsidRPr="006563D2">
              <w:rPr>
                <w:rStyle w:val="Hyperlink"/>
                <w:rFonts w:cs="Times New Roman"/>
                <w:noProof/>
              </w:rPr>
              <w:t>3</w:t>
            </w:r>
            <w:r w:rsidR="000963CC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0963CC" w:rsidRPr="006563D2">
              <w:rPr>
                <w:rStyle w:val="Hyperlink"/>
                <w:noProof/>
              </w:rPr>
              <w:t>Evalueringstekniske totalpris</w:t>
            </w:r>
            <w:r w:rsidR="000963CC">
              <w:rPr>
                <w:noProof/>
                <w:webHidden/>
              </w:rPr>
              <w:tab/>
            </w:r>
            <w:r w:rsidR="000963CC">
              <w:rPr>
                <w:noProof/>
                <w:webHidden/>
              </w:rPr>
              <w:fldChar w:fldCharType="begin"/>
            </w:r>
            <w:r w:rsidR="000963CC">
              <w:rPr>
                <w:noProof/>
                <w:webHidden/>
              </w:rPr>
              <w:instrText xml:space="preserve"> PAGEREF _Toc72482871 \h </w:instrText>
            </w:r>
            <w:r w:rsidR="000963CC">
              <w:rPr>
                <w:noProof/>
                <w:webHidden/>
              </w:rPr>
            </w:r>
            <w:r w:rsidR="000963CC">
              <w:rPr>
                <w:noProof/>
                <w:webHidden/>
              </w:rPr>
              <w:fldChar w:fldCharType="separate"/>
            </w:r>
            <w:r w:rsidR="000963CC">
              <w:rPr>
                <w:noProof/>
                <w:webHidden/>
              </w:rPr>
              <w:t>2</w:t>
            </w:r>
            <w:r w:rsidR="000963CC">
              <w:rPr>
                <w:noProof/>
                <w:webHidden/>
              </w:rPr>
              <w:fldChar w:fldCharType="end"/>
            </w:r>
          </w:hyperlink>
        </w:p>
        <w:p w14:paraId="2CD625D6" w14:textId="4EF7C65F" w:rsidR="00F01F3A" w:rsidRDefault="00F01F3A" w:rsidP="00F01F3A">
          <w:r>
            <w:rPr>
              <w:b/>
              <w:bCs/>
            </w:rPr>
            <w:fldChar w:fldCharType="end"/>
          </w:r>
        </w:p>
      </w:sdtContent>
    </w:sdt>
    <w:p w14:paraId="2E764FFF" w14:textId="77777777" w:rsidR="00F01F3A" w:rsidRDefault="00F01F3A" w:rsidP="00F01F3A">
      <w:r>
        <w:br w:type="page"/>
      </w:r>
    </w:p>
    <w:p w14:paraId="0BE7A788" w14:textId="77777777" w:rsidR="00F01F3A" w:rsidRDefault="00F01F3A" w:rsidP="00F01F3A"/>
    <w:p w14:paraId="5112C13B" w14:textId="77777777" w:rsidR="00F01F3A" w:rsidRPr="00B74665" w:rsidRDefault="00F01F3A" w:rsidP="00F01F3A">
      <w:pPr>
        <w:pStyle w:val="Overskrift1"/>
      </w:pPr>
      <w:bookmarkStart w:id="0" w:name="_Toc72482866"/>
      <w:r w:rsidRPr="00B74665">
        <w:t>G</w:t>
      </w:r>
      <w:r>
        <w:t>enerelt</w:t>
      </w:r>
      <w:bookmarkEnd w:id="0"/>
    </w:p>
    <w:p w14:paraId="578BD072" w14:textId="0747E794" w:rsidR="00F01F3A" w:rsidRDefault="00F01F3A" w:rsidP="00D94957">
      <w:pPr>
        <w:jc w:val="both"/>
      </w:pPr>
      <w:r w:rsidRPr="00A25AB3">
        <w:t xml:space="preserve">Leverandøren forestår </w:t>
      </w:r>
      <w:r w:rsidR="0029226F">
        <w:t xml:space="preserve">drift, </w:t>
      </w:r>
      <w:r w:rsidRPr="00A25AB3">
        <w:t>vedligeholdelse</w:t>
      </w:r>
      <w:r>
        <w:t xml:space="preserve"> og</w:t>
      </w:r>
      <w:r w:rsidRPr="00A25AB3">
        <w:t xml:space="preserve"> support </w:t>
      </w:r>
      <w:r>
        <w:t xml:space="preserve">af det tilbudte programmel </w:t>
      </w:r>
      <w:r w:rsidRPr="00A25AB3">
        <w:t xml:space="preserve">på de vilkår, der fremgår af </w:t>
      </w:r>
      <w:r>
        <w:t>k</w:t>
      </w:r>
      <w:r w:rsidRPr="00A25AB3">
        <w:t xml:space="preserve">ontrakten, </w:t>
      </w:r>
      <w:r w:rsidRPr="00035557">
        <w:rPr>
          <w:b/>
          <w:bCs/>
        </w:rPr>
        <w:t>bilag</w:t>
      </w:r>
      <w:r w:rsidRPr="00A25AB3">
        <w:t xml:space="preserve"> </w:t>
      </w:r>
      <w:r w:rsidRPr="00035557">
        <w:rPr>
          <w:b/>
          <w:bCs/>
        </w:rPr>
        <w:t>5</w:t>
      </w:r>
      <w:r w:rsidRPr="00A25AB3">
        <w:t xml:space="preserve"> og nærværende bilag.</w:t>
      </w:r>
    </w:p>
    <w:p w14:paraId="70065CA9" w14:textId="5A65CE0F" w:rsidR="00184F5F" w:rsidRDefault="00184F5F" w:rsidP="00D94957">
      <w:pPr>
        <w:jc w:val="both"/>
      </w:pPr>
      <w:r>
        <w:t xml:space="preserve">Formålet med dette bilag er at gøre det klart for Leverandøren, hvordan ydelserne omfattet af nærværende kontrakt er prissat, samt hvilke ydelser der skal være indeholdt i de tilbudte priser. </w:t>
      </w:r>
    </w:p>
    <w:p w14:paraId="3F1DA0A7" w14:textId="42FB2DC8" w:rsidR="00184F5F" w:rsidRDefault="00184F5F" w:rsidP="00D94957">
      <w:pPr>
        <w:jc w:val="both"/>
      </w:pPr>
      <w:r>
        <w:t xml:space="preserve">Tilbudsgiver skal udfylde samtlige felter, markeret med gult i forbindelse med tilbudsafgivelsen. </w:t>
      </w:r>
    </w:p>
    <w:p w14:paraId="6EA8F7D0" w14:textId="3D285E1C" w:rsidR="00184F5F" w:rsidRDefault="00184F5F" w:rsidP="00D94957">
      <w:pPr>
        <w:jc w:val="both"/>
      </w:pPr>
      <w:r>
        <w:t xml:space="preserve">Tilbudsgivers prissætning vil indgå som en del af tilbudsevalueringen. </w:t>
      </w:r>
    </w:p>
    <w:p w14:paraId="6337DBE6" w14:textId="56C6D6FD" w:rsidR="00184F5F" w:rsidRDefault="00184F5F" w:rsidP="00D94957">
      <w:pPr>
        <w:jc w:val="both"/>
      </w:pPr>
      <w:r>
        <w:t xml:space="preserve">Priserne er faste i hele aftalens løbetid.  </w:t>
      </w:r>
    </w:p>
    <w:p w14:paraId="70FBF1C6" w14:textId="2D1F1F2C" w:rsidR="00184F5F" w:rsidRDefault="00184F5F" w:rsidP="00D94957">
      <w:pPr>
        <w:jc w:val="both"/>
      </w:pPr>
      <w:r>
        <w:t xml:space="preserve">Den samlede kontraktsum kan ændres som følge af ændringsanmodninger </w:t>
      </w:r>
      <w:r w:rsidR="00CA2DE3">
        <w:t xml:space="preserve">i </w:t>
      </w:r>
      <w:r>
        <w:t>overensstemmelse med kontraktens punkt 5 og 8.</w:t>
      </w:r>
    </w:p>
    <w:p w14:paraId="5BF8B4AF" w14:textId="7783C470" w:rsidR="00184F5F" w:rsidRDefault="00184F5F" w:rsidP="00D94957">
      <w:pPr>
        <w:jc w:val="both"/>
      </w:pPr>
      <w:r>
        <w:t>Alle priser er i danske kroner, ekskl. Moms.</w:t>
      </w:r>
    </w:p>
    <w:p w14:paraId="64C8697D" w14:textId="77777777" w:rsidR="00184F5F" w:rsidRDefault="00184F5F" w:rsidP="00F01F3A"/>
    <w:p w14:paraId="0C172EAB" w14:textId="7EF30976" w:rsidR="00F01F3A" w:rsidRDefault="00F01F3A" w:rsidP="00F01F3A">
      <w:pPr>
        <w:pStyle w:val="Overskrift1"/>
      </w:pPr>
      <w:bookmarkStart w:id="1" w:name="_Toc72482867"/>
      <w:r>
        <w:t>Priser</w:t>
      </w:r>
      <w:bookmarkEnd w:id="1"/>
    </w:p>
    <w:p w14:paraId="2CB48683" w14:textId="5CF315F0" w:rsidR="00D94957" w:rsidRDefault="00D94957" w:rsidP="00D94957">
      <w:pPr>
        <w:pStyle w:val="Overskrift2"/>
      </w:pPr>
      <w:bookmarkStart w:id="2" w:name="_Toc72482868"/>
      <w:r>
        <w:t>Programmel/licens</w:t>
      </w:r>
      <w:bookmarkEnd w:id="2"/>
    </w:p>
    <w:p w14:paraId="749D6D01" w14:textId="43DA6607" w:rsidR="00FF2D9D" w:rsidRPr="00FF2D9D" w:rsidRDefault="00FF2D9D" w:rsidP="00FF2D9D">
      <w:r>
        <w:t xml:space="preserve">Tilbudsgiver skal </w:t>
      </w:r>
      <w:r w:rsidR="0021370C">
        <w:t>i nærværende</w:t>
      </w:r>
      <w:r>
        <w:t xml:space="preserve"> </w:t>
      </w:r>
      <w:r w:rsidR="0021370C">
        <w:t xml:space="preserve">afsnit </w:t>
      </w:r>
      <w:r>
        <w:t>angive den samlede pris for 500</w:t>
      </w:r>
      <w:r w:rsidR="004D5A22">
        <w:t xml:space="preserve"> licenser inkl. drift, vedligehold og support i </w:t>
      </w:r>
      <w:r w:rsidR="00E0350B">
        <w:t xml:space="preserve">hverdage i </w:t>
      </w:r>
      <w:r w:rsidR="00466986">
        <w:t>tidsrummet 0</w:t>
      </w:r>
      <w:r w:rsidR="00CB6938">
        <w:t>9</w:t>
      </w:r>
      <w:r w:rsidR="00466986">
        <w:t xml:space="preserve">:00 – 16:00, i </w:t>
      </w:r>
      <w:r w:rsidR="004D5A22">
        <w:t>48 mdr.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4957" w14:paraId="168543B0" w14:textId="77777777" w:rsidTr="006B22B8">
        <w:tc>
          <w:tcPr>
            <w:tcW w:w="4814" w:type="dxa"/>
          </w:tcPr>
          <w:p w14:paraId="04599050" w14:textId="449130AD" w:rsidR="00D94957" w:rsidRDefault="006B22B8" w:rsidP="00D94957">
            <w:r>
              <w:t>Licens for 500 brugere i 48 mdr.</w:t>
            </w:r>
          </w:p>
        </w:tc>
        <w:tc>
          <w:tcPr>
            <w:tcW w:w="4814" w:type="dxa"/>
            <w:shd w:val="clear" w:color="auto" w:fill="FFFF00"/>
          </w:tcPr>
          <w:p w14:paraId="7B01FE4A" w14:textId="535D1B98" w:rsidR="00D94957" w:rsidRDefault="006B22B8" w:rsidP="00D94957">
            <w:r>
              <w:t>DKK</w:t>
            </w:r>
          </w:p>
        </w:tc>
      </w:tr>
    </w:tbl>
    <w:p w14:paraId="74A91A7C" w14:textId="77777777" w:rsidR="006B22B8" w:rsidRDefault="006B22B8" w:rsidP="006B22B8">
      <w:pPr>
        <w:pStyle w:val="Overskrift2"/>
        <w:numPr>
          <w:ilvl w:val="0"/>
          <w:numId w:val="0"/>
        </w:numPr>
      </w:pPr>
    </w:p>
    <w:p w14:paraId="7EBB3329" w14:textId="055DA5AA" w:rsidR="00D94957" w:rsidRDefault="00D94957" w:rsidP="00D94957">
      <w:pPr>
        <w:pStyle w:val="Overskrift2"/>
      </w:pPr>
      <w:bookmarkStart w:id="3" w:name="_Toc72482869"/>
      <w:r>
        <w:t>Datakonvertering</w:t>
      </w:r>
      <w:bookmarkEnd w:id="3"/>
    </w:p>
    <w:p w14:paraId="29BB7D56" w14:textId="34702FBA" w:rsidR="00D94957" w:rsidRDefault="00D94957" w:rsidP="00D94957">
      <w:r>
        <w:t xml:space="preserve">Tilbudsgiver skal i nærværende afsnit angive en timepris for udførelse af datakonvertering jf. Krav id: </w:t>
      </w:r>
      <w:r w:rsidR="00BE0286">
        <w:t>K</w:t>
      </w:r>
      <w:r w:rsidR="001E4AD0">
        <w:t>.</w:t>
      </w:r>
      <w:r w:rsidR="00A4769E">
        <w:t>27</w:t>
      </w:r>
      <w:r w:rsidR="0021370C">
        <w:t xml:space="preserve"> – K.3</w:t>
      </w:r>
      <w:r w:rsidR="00A4769E">
        <w:t>1</w:t>
      </w:r>
      <w:r w:rsidR="0021370C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4957" w14:paraId="2E3DBD7C" w14:textId="77777777" w:rsidTr="00D94957">
        <w:tc>
          <w:tcPr>
            <w:tcW w:w="4814" w:type="dxa"/>
          </w:tcPr>
          <w:p w14:paraId="00A79D6E" w14:textId="0FBD97D0" w:rsidR="00D94957" w:rsidRDefault="00D94957" w:rsidP="00D94957">
            <w:pPr>
              <w:rPr>
                <w:highlight w:val="yellow"/>
              </w:rPr>
            </w:pPr>
            <w:r w:rsidRPr="00D94957">
              <w:t>Timepris for datakonvertering</w:t>
            </w:r>
          </w:p>
        </w:tc>
        <w:tc>
          <w:tcPr>
            <w:tcW w:w="4814" w:type="dxa"/>
            <w:shd w:val="clear" w:color="auto" w:fill="FFFF00"/>
          </w:tcPr>
          <w:p w14:paraId="394F31FE" w14:textId="2B972681" w:rsidR="00D94957" w:rsidRDefault="00D94957" w:rsidP="00D94957">
            <w:pPr>
              <w:rPr>
                <w:highlight w:val="yellow"/>
              </w:rPr>
            </w:pPr>
            <w:r>
              <w:rPr>
                <w:highlight w:val="yellow"/>
              </w:rPr>
              <w:t>DKK</w:t>
            </w:r>
          </w:p>
        </w:tc>
      </w:tr>
    </w:tbl>
    <w:p w14:paraId="62276FF2" w14:textId="587CFA8A" w:rsidR="00D94957" w:rsidRDefault="00D94957" w:rsidP="00D94957"/>
    <w:p w14:paraId="36241A41" w14:textId="6B10FFE9" w:rsidR="00D94957" w:rsidRDefault="00D94957" w:rsidP="00D94957">
      <w:pPr>
        <w:pStyle w:val="Overskrift2"/>
      </w:pPr>
      <w:bookmarkStart w:id="4" w:name="_Toc72482870"/>
      <w:r>
        <w:t>Support</w:t>
      </w:r>
      <w:bookmarkEnd w:id="4"/>
    </w:p>
    <w:p w14:paraId="7092EB97" w14:textId="44C4970C" w:rsidR="00D94957" w:rsidRDefault="00D94957" w:rsidP="00D94957">
      <w:r>
        <w:t xml:space="preserve">Tilbudsgiver skal i nærværende afsnit angive en timepris for support ydet uden for </w:t>
      </w:r>
      <w:r w:rsidR="00532AF0">
        <w:t xml:space="preserve">hverdage i </w:t>
      </w:r>
      <w:r>
        <w:t xml:space="preserve">tidsrummet </w:t>
      </w:r>
      <w:r w:rsidR="008E73A5">
        <w:t xml:space="preserve">kl. </w:t>
      </w:r>
      <w:r>
        <w:t>0</w:t>
      </w:r>
      <w:r w:rsidR="00603C21">
        <w:t>9</w:t>
      </w:r>
      <w:r>
        <w:t xml:space="preserve">:00-16:00, </w:t>
      </w:r>
      <w:r w:rsidRPr="0004350D">
        <w:t>jf. Krav id:</w:t>
      </w:r>
      <w:r>
        <w:t xml:space="preserve"> </w:t>
      </w:r>
      <w:r w:rsidR="0004350D">
        <w:t>K.1</w:t>
      </w:r>
      <w:r w:rsidR="00FC62D0">
        <w:t>09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4957" w14:paraId="59309E26" w14:textId="77777777" w:rsidTr="00D94957">
        <w:tc>
          <w:tcPr>
            <w:tcW w:w="4814" w:type="dxa"/>
          </w:tcPr>
          <w:p w14:paraId="363678A5" w14:textId="6252DB95" w:rsidR="00D94957" w:rsidRPr="00D94957" w:rsidRDefault="00D94957" w:rsidP="00D94957">
            <w:r w:rsidRPr="00D94957">
              <w:t>Timepris for support udenfor tidsrummet 0</w:t>
            </w:r>
            <w:r w:rsidR="00B12632">
              <w:t>9</w:t>
            </w:r>
            <w:r w:rsidRPr="00D94957">
              <w:t>-16</w:t>
            </w:r>
            <w:r w:rsidR="00395883">
              <w:t xml:space="preserve"> i hverdage</w:t>
            </w:r>
          </w:p>
        </w:tc>
        <w:tc>
          <w:tcPr>
            <w:tcW w:w="4814" w:type="dxa"/>
            <w:shd w:val="clear" w:color="auto" w:fill="FFFF00"/>
          </w:tcPr>
          <w:p w14:paraId="62BF1FB7" w14:textId="40069ADC" w:rsidR="00D94957" w:rsidRPr="00D94957" w:rsidRDefault="00D94957" w:rsidP="00D94957">
            <w:r w:rsidRPr="00D94957">
              <w:t>DKK</w:t>
            </w:r>
          </w:p>
        </w:tc>
      </w:tr>
    </w:tbl>
    <w:p w14:paraId="0891DE06" w14:textId="1658B8E7" w:rsidR="00D94957" w:rsidRDefault="006F3D0C" w:rsidP="00D94957">
      <w:pPr>
        <w:rPr>
          <w:highlight w:val="yellow"/>
        </w:rPr>
      </w:pPr>
      <w:r>
        <w:t>Leverandøren kan alene fakturere pr. påbegyndte halve time.</w:t>
      </w:r>
    </w:p>
    <w:p w14:paraId="4284427A" w14:textId="6ED74FF3" w:rsidR="00D94957" w:rsidRDefault="006B22B8" w:rsidP="006B22B8">
      <w:pPr>
        <w:pStyle w:val="Overskrift1"/>
      </w:pPr>
      <w:bookmarkStart w:id="5" w:name="_Toc72482871"/>
      <w:r>
        <w:t>Evalueringstekniske totalpris</w:t>
      </w:r>
      <w:bookmarkEnd w:id="5"/>
    </w:p>
    <w:p w14:paraId="7AAD3D00" w14:textId="48B79DD3" w:rsidR="006B22B8" w:rsidRDefault="006B22B8" w:rsidP="006B22B8">
      <w:r>
        <w:t xml:space="preserve">Ordregiver har estimeret det forventede timeantal der skal bruges på udførelse af datakonverteringsydelsen til 50 timer. </w:t>
      </w:r>
    </w:p>
    <w:p w14:paraId="55231589" w14:textId="58EA6CDD" w:rsidR="006B22B8" w:rsidRDefault="00C43B12" w:rsidP="006B22B8">
      <w:r>
        <w:t xml:space="preserve">Ordregiver har estimeret det forventede timeantal der skal bruges på </w:t>
      </w:r>
      <w:r w:rsidRPr="00D94957">
        <w:t>support udenfor tidsrummet 0</w:t>
      </w:r>
      <w:r>
        <w:t>9</w:t>
      </w:r>
      <w:r w:rsidRPr="00D94957">
        <w:t>-16</w:t>
      </w:r>
      <w:r w:rsidR="00F87E4C">
        <w:t xml:space="preserve"> i hverdage</w:t>
      </w:r>
      <w:r w:rsidR="00FC2864">
        <w:t xml:space="preserve">, til </w:t>
      </w:r>
      <w:r w:rsidR="00F87E4C">
        <w:t>20</w:t>
      </w:r>
      <w:r w:rsidR="00FC2864">
        <w:t xml:space="preserve"> timer. </w:t>
      </w:r>
      <w:r>
        <w:t xml:space="preserve"> </w:t>
      </w:r>
      <w:r w:rsidR="006B22B8">
        <w:t>Den evalueringstekniske totalpris vil således blive beregnet ved at addere nedenstående: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56"/>
        <w:gridCol w:w="4925"/>
        <w:gridCol w:w="4353"/>
      </w:tblGrid>
      <w:tr w:rsidR="000C0B7C" w14:paraId="62C6133A" w14:textId="77777777" w:rsidTr="000C0B7C">
        <w:tc>
          <w:tcPr>
            <w:tcW w:w="236" w:type="dxa"/>
          </w:tcPr>
          <w:p w14:paraId="0B73D94C" w14:textId="5B03D045" w:rsidR="000C0B7C" w:rsidRDefault="000C0B7C" w:rsidP="006B22B8">
            <w:r>
              <w:t>A</w:t>
            </w:r>
          </w:p>
        </w:tc>
        <w:tc>
          <w:tcPr>
            <w:tcW w:w="4978" w:type="dxa"/>
          </w:tcPr>
          <w:p w14:paraId="450A242C" w14:textId="251AD310" w:rsidR="000C0B7C" w:rsidRDefault="000C0B7C" w:rsidP="006B22B8">
            <w:r>
              <w:t>Licens for 500 brugere i 48 mdr.</w:t>
            </w:r>
          </w:p>
        </w:tc>
        <w:tc>
          <w:tcPr>
            <w:tcW w:w="4420" w:type="dxa"/>
            <w:shd w:val="clear" w:color="auto" w:fill="FFFF00"/>
          </w:tcPr>
          <w:p w14:paraId="311A8DFE" w14:textId="7C20BAB4" w:rsidR="000C0B7C" w:rsidRDefault="000C0B7C" w:rsidP="006B22B8">
            <w:r>
              <w:t>DKK</w:t>
            </w:r>
          </w:p>
        </w:tc>
      </w:tr>
      <w:tr w:rsidR="000C0B7C" w14:paraId="212F282F" w14:textId="77777777" w:rsidTr="000C0B7C">
        <w:tc>
          <w:tcPr>
            <w:tcW w:w="236" w:type="dxa"/>
          </w:tcPr>
          <w:p w14:paraId="1ABB355A" w14:textId="3C59DAD5" w:rsidR="000C0B7C" w:rsidRDefault="000C0B7C" w:rsidP="006B22B8">
            <w:r>
              <w:t>B</w:t>
            </w:r>
          </w:p>
        </w:tc>
        <w:tc>
          <w:tcPr>
            <w:tcW w:w="4978" w:type="dxa"/>
          </w:tcPr>
          <w:p w14:paraId="63DC7C9F" w14:textId="0E0156CE" w:rsidR="000C0B7C" w:rsidRDefault="000C0B7C" w:rsidP="006B22B8">
            <w:r>
              <w:t>Timepris for datakonvertering x 50 timer</w:t>
            </w:r>
          </w:p>
        </w:tc>
        <w:tc>
          <w:tcPr>
            <w:tcW w:w="4420" w:type="dxa"/>
            <w:shd w:val="clear" w:color="auto" w:fill="FFFF00"/>
          </w:tcPr>
          <w:p w14:paraId="1CA5D6D3" w14:textId="152BC8A3" w:rsidR="000C0B7C" w:rsidRDefault="000C0B7C" w:rsidP="006B22B8">
            <w:r>
              <w:t>DKK</w:t>
            </w:r>
          </w:p>
        </w:tc>
      </w:tr>
      <w:tr w:rsidR="00EE0AEF" w14:paraId="020B9829" w14:textId="77777777" w:rsidTr="000C0B7C">
        <w:tc>
          <w:tcPr>
            <w:tcW w:w="236" w:type="dxa"/>
          </w:tcPr>
          <w:p w14:paraId="611D2606" w14:textId="11D90BCE" w:rsidR="00EE0AEF" w:rsidRDefault="00EE0AEF" w:rsidP="006B22B8">
            <w:r>
              <w:t>C</w:t>
            </w:r>
          </w:p>
        </w:tc>
        <w:tc>
          <w:tcPr>
            <w:tcW w:w="4978" w:type="dxa"/>
          </w:tcPr>
          <w:p w14:paraId="3648A672" w14:textId="5BCA12A3" w:rsidR="00EE0AEF" w:rsidRDefault="00EE0AEF" w:rsidP="006B22B8">
            <w:r>
              <w:t>Timepris for support jf. pkt. 2.3</w:t>
            </w:r>
            <w:r w:rsidR="00C43B12">
              <w:t>,</w:t>
            </w:r>
            <w:r>
              <w:t xml:space="preserve"> x </w:t>
            </w:r>
            <w:r w:rsidR="00F87E4C">
              <w:t>20</w:t>
            </w:r>
            <w:r w:rsidR="000D5BEB">
              <w:t xml:space="preserve"> timer</w:t>
            </w:r>
          </w:p>
        </w:tc>
        <w:tc>
          <w:tcPr>
            <w:tcW w:w="4420" w:type="dxa"/>
            <w:shd w:val="clear" w:color="auto" w:fill="FFFF00"/>
          </w:tcPr>
          <w:p w14:paraId="1C263D55" w14:textId="33967DFD" w:rsidR="00EE0AEF" w:rsidRDefault="00C43B12" w:rsidP="006B22B8">
            <w:r>
              <w:t>DKK</w:t>
            </w:r>
          </w:p>
        </w:tc>
      </w:tr>
      <w:tr w:rsidR="000C0B7C" w14:paraId="3A95E555" w14:textId="77777777" w:rsidTr="000C0B7C">
        <w:tc>
          <w:tcPr>
            <w:tcW w:w="236" w:type="dxa"/>
          </w:tcPr>
          <w:p w14:paraId="671B91A2" w14:textId="559E902E" w:rsidR="000C0B7C" w:rsidRDefault="00EE0AEF" w:rsidP="006B22B8">
            <w:r>
              <w:t>D</w:t>
            </w:r>
          </w:p>
        </w:tc>
        <w:tc>
          <w:tcPr>
            <w:tcW w:w="4978" w:type="dxa"/>
          </w:tcPr>
          <w:p w14:paraId="29254A26" w14:textId="0807FAD3" w:rsidR="000C0B7C" w:rsidRDefault="000C0B7C" w:rsidP="006B22B8">
            <w:r>
              <w:t>Evalueringstekniske totalpris (A + B</w:t>
            </w:r>
            <w:r w:rsidR="00BF5E48">
              <w:t xml:space="preserve"> </w:t>
            </w:r>
            <w:r w:rsidR="00C43B12">
              <w:t xml:space="preserve">+ C </w:t>
            </w:r>
            <w:r w:rsidR="00BF5E48">
              <w:t xml:space="preserve">= </w:t>
            </w:r>
            <w:r w:rsidR="00C43B12">
              <w:t>D</w:t>
            </w:r>
            <w:r w:rsidR="00BF5E48">
              <w:t>)</w:t>
            </w:r>
          </w:p>
        </w:tc>
        <w:tc>
          <w:tcPr>
            <w:tcW w:w="4420" w:type="dxa"/>
            <w:shd w:val="clear" w:color="auto" w:fill="FFFF00"/>
          </w:tcPr>
          <w:p w14:paraId="169A5AB1" w14:textId="33FCE3ED" w:rsidR="000C0B7C" w:rsidRDefault="000C0B7C" w:rsidP="006B22B8">
            <w:r>
              <w:t>DKK</w:t>
            </w:r>
          </w:p>
        </w:tc>
      </w:tr>
    </w:tbl>
    <w:p w14:paraId="7E88F335" w14:textId="62844AD2" w:rsidR="00F01F3A" w:rsidRDefault="00F01F3A" w:rsidP="00226C49">
      <w:pPr>
        <w:pStyle w:val="Overskrift1"/>
        <w:numPr>
          <w:ilvl w:val="0"/>
          <w:numId w:val="0"/>
        </w:numPr>
      </w:pPr>
    </w:p>
    <w:sectPr w:rsidR="00F01F3A" w:rsidSect="009E336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1FEE" w14:textId="77777777" w:rsidR="00BE5B37" w:rsidRDefault="00BE5B37">
      <w:pPr>
        <w:spacing w:after="0" w:line="240" w:lineRule="auto"/>
      </w:pPr>
      <w:r>
        <w:separator/>
      </w:r>
    </w:p>
  </w:endnote>
  <w:endnote w:type="continuationSeparator" w:id="0">
    <w:p w14:paraId="6AE19D8A" w14:textId="77777777" w:rsidR="00BE5B37" w:rsidRDefault="00BE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246603"/>
      <w:docPartObj>
        <w:docPartGallery w:val="Page Numbers (Bottom of Page)"/>
        <w:docPartUnique/>
      </w:docPartObj>
    </w:sdtPr>
    <w:sdtEndPr/>
    <w:sdtContent>
      <w:p w14:paraId="6057BE2E" w14:textId="77777777" w:rsidR="009E336C" w:rsidRDefault="004669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7DAA8" w14:textId="77777777" w:rsidR="009E336C" w:rsidRDefault="00E035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FB38" w14:textId="77777777" w:rsidR="00BE5B37" w:rsidRDefault="00BE5B37">
      <w:pPr>
        <w:spacing w:after="0" w:line="240" w:lineRule="auto"/>
      </w:pPr>
      <w:r>
        <w:separator/>
      </w:r>
    </w:p>
  </w:footnote>
  <w:footnote w:type="continuationSeparator" w:id="0">
    <w:p w14:paraId="651A5689" w14:textId="77777777" w:rsidR="00BE5B37" w:rsidRDefault="00BE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DFB4" w14:textId="77777777" w:rsidR="00261C4A" w:rsidRDefault="00466986">
    <w:pPr>
      <w:pStyle w:val="Sidehoved"/>
    </w:pPr>
    <w:r w:rsidRPr="00AB1206">
      <w:rPr>
        <w:noProof/>
        <w:sz w:val="20"/>
        <w:szCs w:val="20"/>
        <w:lang w:eastAsia="da-DK"/>
      </w:rPr>
      <w:drawing>
        <wp:anchor distT="0" distB="0" distL="114300" distR="114300" simplePos="0" relativeHeight="251659264" behindDoc="1" locked="0" layoutInCell="1" allowOverlap="1" wp14:anchorId="3380FE54" wp14:editId="76A9A62B">
          <wp:simplePos x="0" y="0"/>
          <wp:positionH relativeFrom="page">
            <wp:posOffset>729615</wp:posOffset>
          </wp:positionH>
          <wp:positionV relativeFrom="topMargin">
            <wp:posOffset>175260</wp:posOffset>
          </wp:positionV>
          <wp:extent cx="2230755" cy="791210"/>
          <wp:effectExtent l="0" t="0" r="0" b="8890"/>
          <wp:wrapNone/>
          <wp:docPr id="5" name="Billede 2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C04EB"/>
    <w:multiLevelType w:val="multilevel"/>
    <w:tmpl w:val="AEEAE21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3A"/>
    <w:rsid w:val="0004350D"/>
    <w:rsid w:val="000963CC"/>
    <w:rsid w:val="000C0B7C"/>
    <w:rsid w:val="000D5BEB"/>
    <w:rsid w:val="00105CA8"/>
    <w:rsid w:val="00184F5F"/>
    <w:rsid w:val="001E4AD0"/>
    <w:rsid w:val="0021370C"/>
    <w:rsid w:val="00226C49"/>
    <w:rsid w:val="00291211"/>
    <w:rsid w:val="0029226F"/>
    <w:rsid w:val="002E5F4A"/>
    <w:rsid w:val="00395883"/>
    <w:rsid w:val="004519DF"/>
    <w:rsid w:val="00466986"/>
    <w:rsid w:val="004D5A22"/>
    <w:rsid w:val="00532AF0"/>
    <w:rsid w:val="00603C21"/>
    <w:rsid w:val="006B22B8"/>
    <w:rsid w:val="006F1885"/>
    <w:rsid w:val="006F3D0C"/>
    <w:rsid w:val="008E73A5"/>
    <w:rsid w:val="00A4769E"/>
    <w:rsid w:val="00AF34CC"/>
    <w:rsid w:val="00B12632"/>
    <w:rsid w:val="00BE0286"/>
    <w:rsid w:val="00BE5B37"/>
    <w:rsid w:val="00BF5E48"/>
    <w:rsid w:val="00C43B12"/>
    <w:rsid w:val="00CA2DE3"/>
    <w:rsid w:val="00CB6938"/>
    <w:rsid w:val="00D0770A"/>
    <w:rsid w:val="00D94957"/>
    <w:rsid w:val="00E0350B"/>
    <w:rsid w:val="00EE0AEF"/>
    <w:rsid w:val="00F01F3A"/>
    <w:rsid w:val="00F87E4C"/>
    <w:rsid w:val="00FC2864"/>
    <w:rsid w:val="00FC62D0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7FA"/>
  <w15:chartTrackingRefBased/>
  <w15:docId w15:val="{B02D5F18-63C2-407A-B5F9-8344820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3A"/>
    <w:rPr>
      <w:rFonts w:ascii="KBH" w:hAnsi="KBH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1F3A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01F3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01F3A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1F3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1F3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1F3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1F3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1F3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1F3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1F3A"/>
    <w:rPr>
      <w:rFonts w:ascii="KBH" w:eastAsiaTheme="majorEastAsia" w:hAnsi="KBH" w:cstheme="majorBidi"/>
      <w:color w:val="2F5496" w:themeColor="accent1" w:themeShade="BF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1F3A"/>
    <w:rPr>
      <w:rFonts w:ascii="KBH" w:eastAsiaTheme="majorEastAsia" w:hAnsi="KBH" w:cstheme="majorBidi"/>
      <w:color w:val="2F5496" w:themeColor="accent1" w:themeShade="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1F3A"/>
    <w:rPr>
      <w:rFonts w:ascii="KBH" w:eastAsiaTheme="majorEastAsia" w:hAnsi="KBH" w:cstheme="majorBidi"/>
      <w:color w:val="1F3763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1F3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01F3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01F3A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01F3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01F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01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F0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1F3A"/>
    <w:rPr>
      <w:rFonts w:ascii="KBH" w:hAnsi="KBH"/>
      <w:sz w:val="18"/>
    </w:rPr>
  </w:style>
  <w:style w:type="paragraph" w:styleId="Sidefod">
    <w:name w:val="footer"/>
    <w:basedOn w:val="Normal"/>
    <w:link w:val="SidefodTegn"/>
    <w:uiPriority w:val="99"/>
    <w:unhideWhenUsed/>
    <w:rsid w:val="00F0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1F3A"/>
    <w:rPr>
      <w:rFonts w:ascii="KBH" w:hAnsi="KBH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F0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01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F01F3A"/>
    <w:pPr>
      <w:numPr>
        <w:numId w:val="0"/>
      </w:numPr>
      <w:outlineLvl w:val="9"/>
    </w:pPr>
    <w:rPr>
      <w:rFonts w:asciiTheme="majorHAnsi" w:hAnsiTheme="majorHAnsi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01F3A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01F3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F3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F3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9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105CA8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2168</Characters>
  <Application>Microsoft Office Word</Application>
  <DocSecurity>0</DocSecurity>
  <Lines>114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D. Madsen</dc:creator>
  <cp:keywords/>
  <dc:description/>
  <cp:lastModifiedBy>Orion D. Madsen</cp:lastModifiedBy>
  <cp:revision>12</cp:revision>
  <dcterms:created xsi:type="dcterms:W3CDTF">2021-05-25T13:24:00Z</dcterms:created>
  <dcterms:modified xsi:type="dcterms:W3CDTF">2021-05-26T06:24:00Z</dcterms:modified>
</cp:coreProperties>
</file>