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CD03" w14:textId="77777777" w:rsidR="00820A4D" w:rsidRDefault="00820A4D" w:rsidP="00820A4D">
      <w:pPr>
        <w:pStyle w:val="Overskrift0"/>
        <w:spacing w:after="240" w:line="240" w:lineRule="auto"/>
        <w:ind w:right="707"/>
        <w:jc w:val="both"/>
        <w:rPr>
          <w:sz w:val="36"/>
          <w:szCs w:val="36"/>
        </w:rPr>
      </w:pPr>
    </w:p>
    <w:p w14:paraId="775425F6" w14:textId="77777777" w:rsidR="00820A4D" w:rsidRDefault="00820A4D" w:rsidP="00820A4D">
      <w:pPr>
        <w:pStyle w:val="Overskrift0"/>
        <w:spacing w:after="240" w:line="240" w:lineRule="auto"/>
        <w:ind w:right="707"/>
        <w:jc w:val="both"/>
        <w:rPr>
          <w:sz w:val="36"/>
          <w:szCs w:val="36"/>
        </w:rPr>
      </w:pPr>
    </w:p>
    <w:p w14:paraId="2C23509E" w14:textId="39DCB278" w:rsidR="00820A4D" w:rsidRPr="00CF573F" w:rsidRDefault="00F668F1" w:rsidP="004A6DF0">
      <w:pPr>
        <w:pStyle w:val="Overskrift0"/>
        <w:spacing w:after="240" w:line="240" w:lineRule="auto"/>
        <w:ind w:right="707"/>
        <w:rPr>
          <w:color w:val="13535B"/>
          <w:sz w:val="36"/>
          <w:lang w:val="en-GB"/>
        </w:rPr>
      </w:pPr>
      <w:r w:rsidRPr="00CF573F">
        <w:rPr>
          <w:color w:val="13535B"/>
          <w:sz w:val="36"/>
          <w:lang w:val="en-GB"/>
        </w:rPr>
        <w:t>Contract agreement for purchase of it consultancy services: test manager for the nemo programme</w:t>
      </w:r>
    </w:p>
    <w:p w14:paraId="61D8784A" w14:textId="77777777" w:rsidR="00820A4D" w:rsidRPr="00F668F1" w:rsidRDefault="00820A4D" w:rsidP="00820A4D">
      <w:pPr>
        <w:spacing w:line="240" w:lineRule="auto"/>
        <w:rPr>
          <w:lang w:val="en-US"/>
        </w:rPr>
      </w:pPr>
    </w:p>
    <w:p w14:paraId="488BA63E" w14:textId="0AB6EEB8" w:rsidR="00820A4D" w:rsidRPr="004C275F" w:rsidRDefault="00F668F1" w:rsidP="00820A4D">
      <w:pPr>
        <w:pStyle w:val="Adresse"/>
        <w:spacing w:after="120" w:line="240" w:lineRule="auto"/>
        <w:jc w:val="both"/>
        <w:rPr>
          <w:color w:val="auto"/>
          <w:sz w:val="20"/>
          <w:lang w:val="en-US"/>
        </w:rPr>
      </w:pPr>
      <w:r>
        <w:rPr>
          <w:color w:val="auto"/>
          <w:sz w:val="20"/>
          <w:lang w:val="en-US"/>
        </w:rPr>
        <w:t>between</w:t>
      </w:r>
    </w:p>
    <w:p w14:paraId="30757FED" w14:textId="7EACDC32" w:rsidR="00820A4D" w:rsidRPr="00502D44" w:rsidRDefault="00820A4D" w:rsidP="00567A2C">
      <w:pPr>
        <w:pStyle w:val="Modtager"/>
        <w:spacing w:line="240" w:lineRule="auto"/>
        <w:jc w:val="both"/>
        <w:rPr>
          <w:b/>
          <w:bCs/>
          <w:color w:val="000000" w:themeColor="text1"/>
          <w:lang w:val="en-US"/>
        </w:rPr>
      </w:pPr>
      <w:bookmarkStart w:id="0" w:name="_Hlk66365914"/>
      <w:r w:rsidRPr="00502D44">
        <w:rPr>
          <w:b/>
          <w:bCs/>
          <w:color w:val="000000" w:themeColor="text1"/>
          <w:lang w:val="en-US"/>
        </w:rPr>
        <w:t>Nordic RCC A/S</w:t>
      </w:r>
    </w:p>
    <w:p w14:paraId="488868DE" w14:textId="03FA7444" w:rsidR="00567A2C" w:rsidRPr="00502D44" w:rsidRDefault="00567A2C" w:rsidP="00567A2C">
      <w:pPr>
        <w:pStyle w:val="Adresse"/>
        <w:spacing w:line="240" w:lineRule="auto"/>
        <w:jc w:val="both"/>
        <w:rPr>
          <w:color w:val="000000" w:themeColor="text1"/>
          <w:sz w:val="20"/>
          <w:lang w:val="en-US"/>
        </w:rPr>
      </w:pPr>
      <w:r w:rsidRPr="00502D44">
        <w:rPr>
          <w:color w:val="000000" w:themeColor="text1"/>
          <w:sz w:val="20"/>
          <w:lang w:val="en-US"/>
        </w:rPr>
        <w:t>Copenhagen Towers </w:t>
      </w:r>
    </w:p>
    <w:p w14:paraId="3A4B1345" w14:textId="299FE0BC" w:rsidR="00567A2C" w:rsidRPr="0034667C" w:rsidRDefault="00567A2C" w:rsidP="00567A2C">
      <w:pPr>
        <w:pStyle w:val="Adresse"/>
        <w:spacing w:line="240" w:lineRule="auto"/>
        <w:jc w:val="both"/>
        <w:rPr>
          <w:color w:val="000000" w:themeColor="text1"/>
          <w:sz w:val="20"/>
          <w:lang w:val="en-US"/>
        </w:rPr>
      </w:pPr>
      <w:proofErr w:type="spellStart"/>
      <w:r w:rsidRPr="0034667C">
        <w:rPr>
          <w:color w:val="000000" w:themeColor="text1"/>
          <w:sz w:val="20"/>
          <w:lang w:val="en-US"/>
        </w:rPr>
        <w:t>Ørestads</w:t>
      </w:r>
      <w:proofErr w:type="spellEnd"/>
      <w:r w:rsidRPr="0034667C">
        <w:rPr>
          <w:color w:val="000000" w:themeColor="text1"/>
          <w:sz w:val="20"/>
          <w:lang w:val="en-US"/>
        </w:rPr>
        <w:t xml:space="preserve"> Boulevard 114 </w:t>
      </w:r>
    </w:p>
    <w:p w14:paraId="330E9D36" w14:textId="77777777" w:rsidR="00F60DF7" w:rsidRPr="0034667C" w:rsidRDefault="00567A2C" w:rsidP="00567A2C">
      <w:pPr>
        <w:pStyle w:val="Adresse"/>
        <w:spacing w:line="240" w:lineRule="auto"/>
        <w:jc w:val="both"/>
        <w:rPr>
          <w:color w:val="000000" w:themeColor="text1"/>
          <w:sz w:val="20"/>
          <w:lang w:val="en-US"/>
        </w:rPr>
      </w:pPr>
      <w:r w:rsidRPr="0034667C">
        <w:rPr>
          <w:color w:val="000000" w:themeColor="text1"/>
          <w:sz w:val="20"/>
          <w:lang w:val="en-US"/>
        </w:rPr>
        <w:t xml:space="preserve">2300 </w:t>
      </w:r>
      <w:proofErr w:type="spellStart"/>
      <w:r w:rsidRPr="0034667C">
        <w:rPr>
          <w:color w:val="000000" w:themeColor="text1"/>
          <w:sz w:val="20"/>
          <w:lang w:val="en-US"/>
        </w:rPr>
        <w:t>København</w:t>
      </w:r>
      <w:proofErr w:type="spellEnd"/>
      <w:r w:rsidRPr="0034667C">
        <w:rPr>
          <w:color w:val="000000" w:themeColor="text1"/>
          <w:sz w:val="20"/>
          <w:lang w:val="en-US"/>
        </w:rPr>
        <w:t xml:space="preserve"> S</w:t>
      </w:r>
    </w:p>
    <w:p w14:paraId="757D67A2" w14:textId="3DDF5FE7" w:rsidR="00567A2C" w:rsidRPr="0034667C" w:rsidRDefault="00F668F1" w:rsidP="26231F75">
      <w:pPr>
        <w:pStyle w:val="Adresse"/>
        <w:spacing w:line="240" w:lineRule="auto"/>
        <w:jc w:val="both"/>
        <w:rPr>
          <w:color w:val="000000" w:themeColor="text1"/>
          <w:sz w:val="20"/>
          <w:lang w:val="en-US"/>
        </w:rPr>
      </w:pPr>
      <w:r w:rsidRPr="26231F75">
        <w:rPr>
          <w:color w:val="000000" w:themeColor="text1"/>
          <w:sz w:val="20"/>
          <w:lang w:val="en-US"/>
        </w:rPr>
        <w:t>Company reg. no.</w:t>
      </w:r>
      <w:r w:rsidR="00F60DF7" w:rsidRPr="26231F75">
        <w:rPr>
          <w:color w:val="000000" w:themeColor="text1"/>
          <w:sz w:val="20"/>
          <w:lang w:val="en-US"/>
        </w:rPr>
        <w:t xml:space="preserve"> 42 88 25 85</w:t>
      </w:r>
      <w:r w:rsidR="00567A2C" w:rsidRPr="26231F75">
        <w:rPr>
          <w:color w:val="000000" w:themeColor="text1"/>
          <w:sz w:val="20"/>
          <w:lang w:val="en-US"/>
        </w:rPr>
        <w:t> </w:t>
      </w:r>
    </w:p>
    <w:bookmarkEnd w:id="0"/>
    <w:p w14:paraId="53125D69" w14:textId="06D5EE1F" w:rsidR="00820A4D" w:rsidRPr="00F668F1" w:rsidRDefault="00820A4D" w:rsidP="00820A4D">
      <w:pPr>
        <w:spacing w:after="120" w:line="240" w:lineRule="auto"/>
        <w:jc w:val="both"/>
        <w:rPr>
          <w:color w:val="000000" w:themeColor="text1"/>
          <w:szCs w:val="18"/>
          <w:lang w:val="en-US"/>
        </w:rPr>
      </w:pPr>
      <w:proofErr w:type="gramStart"/>
      <w:r w:rsidRPr="00F668F1">
        <w:rPr>
          <w:color w:val="000000" w:themeColor="text1"/>
          <w:szCs w:val="18"/>
          <w:lang w:val="en-US"/>
        </w:rPr>
        <w:t>(”</w:t>
      </w:r>
      <w:r w:rsidR="00F668F1" w:rsidRPr="00F668F1">
        <w:rPr>
          <w:color w:val="000000" w:themeColor="text1"/>
          <w:szCs w:val="18"/>
          <w:lang w:val="en-US"/>
        </w:rPr>
        <w:t>the</w:t>
      </w:r>
      <w:proofErr w:type="gramEnd"/>
      <w:r w:rsidR="00F668F1" w:rsidRPr="00F668F1">
        <w:rPr>
          <w:color w:val="000000" w:themeColor="text1"/>
          <w:szCs w:val="18"/>
          <w:lang w:val="en-US"/>
        </w:rPr>
        <w:t xml:space="preserve"> Customer</w:t>
      </w:r>
      <w:r w:rsidRPr="00F668F1">
        <w:rPr>
          <w:color w:val="000000" w:themeColor="text1"/>
          <w:szCs w:val="18"/>
          <w:lang w:val="en-US"/>
        </w:rPr>
        <w:t xml:space="preserve">”) </w:t>
      </w:r>
    </w:p>
    <w:p w14:paraId="02966F2C" w14:textId="393CF1A3" w:rsidR="00820A4D" w:rsidRPr="00F668F1" w:rsidRDefault="00F668F1" w:rsidP="00820A4D">
      <w:pPr>
        <w:spacing w:after="120" w:line="240" w:lineRule="auto"/>
        <w:jc w:val="both"/>
        <w:rPr>
          <w:color w:val="000000" w:themeColor="text1"/>
          <w:szCs w:val="18"/>
          <w:lang w:val="en-US"/>
        </w:rPr>
      </w:pPr>
      <w:r w:rsidRPr="00F668F1">
        <w:rPr>
          <w:color w:val="000000" w:themeColor="text1"/>
          <w:szCs w:val="18"/>
          <w:lang w:val="en-US"/>
        </w:rPr>
        <w:t>an</w:t>
      </w:r>
      <w:r>
        <w:rPr>
          <w:color w:val="000000" w:themeColor="text1"/>
          <w:szCs w:val="18"/>
          <w:lang w:val="en-US"/>
        </w:rPr>
        <w:t>d</w:t>
      </w:r>
    </w:p>
    <w:p w14:paraId="3C08F4C8" w14:textId="77777777" w:rsidR="00F668F1" w:rsidRPr="002029C0" w:rsidRDefault="00F668F1" w:rsidP="00F668F1">
      <w:pPr>
        <w:pStyle w:val="Modtager"/>
        <w:spacing w:line="276" w:lineRule="auto"/>
        <w:jc w:val="both"/>
        <w:rPr>
          <w:b/>
          <w:color w:val="000000" w:themeColor="text1"/>
          <w:highlight w:val="yellow"/>
          <w:lang w:val="en-US"/>
        </w:rPr>
      </w:pPr>
      <w:r w:rsidRPr="002029C0">
        <w:rPr>
          <w:b/>
          <w:color w:val="000000" w:themeColor="text1"/>
          <w:highlight w:val="yellow"/>
          <w:lang w:val="en-US"/>
        </w:rPr>
        <w:t xml:space="preserve">Name of company </w:t>
      </w:r>
    </w:p>
    <w:p w14:paraId="3EA360EB" w14:textId="77777777" w:rsidR="00F668F1" w:rsidRPr="002029C0" w:rsidRDefault="00F668F1" w:rsidP="00F668F1">
      <w:pPr>
        <w:pStyle w:val="Adresse"/>
        <w:spacing w:line="276" w:lineRule="auto"/>
        <w:jc w:val="both"/>
        <w:rPr>
          <w:color w:val="000000" w:themeColor="text1"/>
          <w:sz w:val="20"/>
          <w:highlight w:val="yellow"/>
          <w:lang w:val="en-US"/>
        </w:rPr>
      </w:pPr>
      <w:r w:rsidRPr="002029C0">
        <w:rPr>
          <w:color w:val="000000" w:themeColor="text1"/>
          <w:sz w:val="20"/>
          <w:highlight w:val="yellow"/>
          <w:lang w:val="en-US"/>
        </w:rPr>
        <w:t>Address</w:t>
      </w:r>
    </w:p>
    <w:p w14:paraId="1CC9DD0F" w14:textId="77777777" w:rsidR="00F668F1" w:rsidRPr="002029C0" w:rsidRDefault="00F668F1" w:rsidP="00F668F1">
      <w:pPr>
        <w:pStyle w:val="Adresse"/>
        <w:spacing w:line="276" w:lineRule="auto"/>
        <w:jc w:val="both"/>
        <w:rPr>
          <w:color w:val="000000" w:themeColor="text1"/>
          <w:sz w:val="20"/>
          <w:highlight w:val="yellow"/>
          <w:lang w:val="en-US"/>
        </w:rPr>
      </w:pPr>
      <w:r w:rsidRPr="002029C0">
        <w:rPr>
          <w:color w:val="000000" w:themeColor="text1"/>
          <w:sz w:val="20"/>
          <w:highlight w:val="yellow"/>
          <w:lang w:val="en-US"/>
        </w:rPr>
        <w:t>Postcode, City</w:t>
      </w:r>
    </w:p>
    <w:p w14:paraId="07323915" w14:textId="78DFCDDB" w:rsidR="00F668F1" w:rsidRPr="002029C0" w:rsidRDefault="00F668F1" w:rsidP="00F668F1">
      <w:pPr>
        <w:pStyle w:val="Adresse"/>
        <w:spacing w:after="120" w:line="276" w:lineRule="auto"/>
        <w:jc w:val="both"/>
        <w:rPr>
          <w:color w:val="000000" w:themeColor="text1"/>
          <w:sz w:val="20"/>
          <w:lang w:val="en-US"/>
        </w:rPr>
      </w:pPr>
      <w:r w:rsidRPr="002029C0">
        <w:rPr>
          <w:color w:val="000000" w:themeColor="text1"/>
          <w:sz w:val="20"/>
          <w:lang w:val="en-US"/>
        </w:rPr>
        <w:t>Company reg.n</w:t>
      </w:r>
      <w:r>
        <w:rPr>
          <w:color w:val="000000" w:themeColor="text1"/>
          <w:sz w:val="20"/>
          <w:lang w:val="en-US"/>
        </w:rPr>
        <w:t>o</w:t>
      </w:r>
      <w:r w:rsidRPr="002029C0">
        <w:rPr>
          <w:color w:val="000000" w:themeColor="text1"/>
          <w:sz w:val="20"/>
          <w:lang w:val="en-US"/>
        </w:rPr>
        <w:t xml:space="preserve">. </w:t>
      </w:r>
      <w:r w:rsidRPr="002029C0">
        <w:rPr>
          <w:color w:val="000000" w:themeColor="text1"/>
          <w:sz w:val="20"/>
          <w:highlight w:val="yellow"/>
          <w:lang w:val="en-US"/>
        </w:rPr>
        <w:t>[……]</w:t>
      </w:r>
    </w:p>
    <w:p w14:paraId="2CC489AF" w14:textId="77777777" w:rsidR="00F668F1" w:rsidRPr="002029C0" w:rsidRDefault="00F668F1" w:rsidP="00F668F1">
      <w:pPr>
        <w:pStyle w:val="Adresse"/>
        <w:spacing w:after="120" w:line="240" w:lineRule="auto"/>
        <w:jc w:val="both"/>
        <w:rPr>
          <w:color w:val="auto"/>
          <w:sz w:val="20"/>
          <w:lang w:val="en-US"/>
        </w:rPr>
      </w:pPr>
      <w:r w:rsidRPr="002029C0">
        <w:rPr>
          <w:color w:val="auto"/>
          <w:sz w:val="20"/>
          <w:lang w:val="en-US"/>
        </w:rPr>
        <w:t>(</w:t>
      </w:r>
      <w:r w:rsidRPr="002029C0">
        <w:rPr>
          <w:color w:val="auto"/>
          <w:lang w:val="en-US"/>
        </w:rPr>
        <w:t>"</w:t>
      </w:r>
      <w:r>
        <w:rPr>
          <w:color w:val="auto"/>
          <w:sz w:val="20"/>
          <w:lang w:val="en-US"/>
        </w:rPr>
        <w:t>the Supplier</w:t>
      </w:r>
      <w:r w:rsidRPr="002029C0">
        <w:rPr>
          <w:color w:val="auto"/>
          <w:lang w:val="en-US"/>
        </w:rPr>
        <w:t>"</w:t>
      </w:r>
      <w:r w:rsidRPr="002029C0">
        <w:rPr>
          <w:color w:val="auto"/>
          <w:sz w:val="20"/>
          <w:lang w:val="en-US"/>
        </w:rPr>
        <w:t>)</w:t>
      </w:r>
    </w:p>
    <w:p w14:paraId="0AE2DB1D" w14:textId="77777777" w:rsidR="00F668F1" w:rsidRPr="002029C0" w:rsidRDefault="00F668F1" w:rsidP="00F668F1">
      <w:pPr>
        <w:spacing w:line="240" w:lineRule="auto"/>
        <w:jc w:val="both"/>
        <w:rPr>
          <w:szCs w:val="18"/>
          <w:lang w:val="en-US"/>
        </w:rPr>
      </w:pPr>
      <w:r w:rsidRPr="002029C0">
        <w:rPr>
          <w:szCs w:val="18"/>
          <w:lang w:val="en-US"/>
        </w:rPr>
        <w:t>(</w:t>
      </w:r>
      <w:proofErr w:type="gramStart"/>
      <w:r w:rsidRPr="002029C0">
        <w:rPr>
          <w:szCs w:val="18"/>
          <w:lang w:val="en-US"/>
        </w:rPr>
        <w:t>jointly</w:t>
      </w:r>
      <w:proofErr w:type="gramEnd"/>
      <w:r w:rsidRPr="002029C0">
        <w:rPr>
          <w:szCs w:val="18"/>
          <w:lang w:val="en-US"/>
        </w:rPr>
        <w:t xml:space="preserve"> referred to as </w:t>
      </w:r>
      <w:r w:rsidRPr="002029C0">
        <w:rPr>
          <w:lang w:val="en-US"/>
        </w:rPr>
        <w:t>"</w:t>
      </w:r>
      <w:r w:rsidRPr="002029C0">
        <w:rPr>
          <w:szCs w:val="18"/>
          <w:lang w:val="en-US"/>
        </w:rPr>
        <w:t>Parties</w:t>
      </w:r>
      <w:r w:rsidRPr="002029C0">
        <w:rPr>
          <w:lang w:val="en-US"/>
        </w:rPr>
        <w:t>"</w:t>
      </w:r>
      <w:r w:rsidRPr="002029C0">
        <w:rPr>
          <w:szCs w:val="18"/>
          <w:lang w:val="en-US"/>
        </w:rPr>
        <w:t xml:space="preserve"> and individually as a </w:t>
      </w:r>
      <w:r w:rsidRPr="002029C0">
        <w:rPr>
          <w:lang w:val="en-US"/>
        </w:rPr>
        <w:t>"</w:t>
      </w:r>
      <w:r w:rsidRPr="002029C0">
        <w:rPr>
          <w:szCs w:val="18"/>
          <w:lang w:val="en-US"/>
        </w:rPr>
        <w:t>Party</w:t>
      </w:r>
      <w:r w:rsidRPr="002029C0">
        <w:rPr>
          <w:lang w:val="en-US"/>
        </w:rPr>
        <w:t>"</w:t>
      </w:r>
      <w:r w:rsidRPr="002029C0">
        <w:rPr>
          <w:szCs w:val="18"/>
          <w:lang w:val="en-US"/>
        </w:rPr>
        <w:t>)</w:t>
      </w:r>
      <w:bookmarkStart w:id="1" w:name="STR1_DOCNAME"/>
      <w:bookmarkStart w:id="2" w:name="STR1_DOCNUMBER"/>
      <w:bookmarkEnd w:id="1"/>
      <w:bookmarkEnd w:id="2"/>
    </w:p>
    <w:p w14:paraId="10A15E78" w14:textId="6F055E8B" w:rsidR="00820A4D" w:rsidRPr="00F668F1" w:rsidRDefault="00820A4D" w:rsidP="00820A4D">
      <w:pPr>
        <w:spacing w:after="240" w:line="240" w:lineRule="auto"/>
        <w:rPr>
          <w:szCs w:val="18"/>
          <w:lang w:val="en-US"/>
        </w:rPr>
      </w:pPr>
      <w:r w:rsidRPr="00F668F1">
        <w:rPr>
          <w:szCs w:val="18"/>
          <w:lang w:val="en-US"/>
        </w:rPr>
        <w:br/>
      </w:r>
    </w:p>
    <w:p w14:paraId="19B1E9C1" w14:textId="382751D9" w:rsidR="00820A4D" w:rsidRPr="00682CE4" w:rsidRDefault="00F668F1" w:rsidP="00820A4D">
      <w:pPr>
        <w:pStyle w:val="Heading1"/>
        <w:keepNext w:val="0"/>
        <w:jc w:val="both"/>
        <w:rPr>
          <w:rFonts w:eastAsiaTheme="minorHAnsi"/>
          <w:lang w:eastAsia="en-US"/>
        </w:rPr>
      </w:pPr>
      <w:r w:rsidRPr="00682CE4">
        <w:rPr>
          <w:rFonts w:eastAsiaTheme="minorHAnsi"/>
          <w:lang w:eastAsia="en-US"/>
        </w:rPr>
        <w:t>Background and purpose</w:t>
      </w:r>
    </w:p>
    <w:p w14:paraId="37FF92E5" w14:textId="3A6979D7" w:rsidR="00F668F1" w:rsidRPr="00682CE4" w:rsidRDefault="00F668F1" w:rsidP="00F668F1">
      <w:pPr>
        <w:pStyle w:val="Heading2"/>
        <w:keepNext w:val="0"/>
        <w:spacing w:after="120"/>
        <w:jc w:val="both"/>
        <w:rPr>
          <w:lang w:val="en-US"/>
        </w:rPr>
      </w:pPr>
      <w:r w:rsidRPr="00682CE4">
        <w:rPr>
          <w:lang w:val="en-US"/>
        </w:rPr>
        <w:t xml:space="preserve">This contract document with appendices 1-3 ("Agreement") lays down the terms and conditions for the Supplier’s delivery of a test manager for the NEMO </w:t>
      </w:r>
      <w:proofErr w:type="spellStart"/>
      <w:r w:rsidRPr="00682CE4">
        <w:rPr>
          <w:lang w:val="en-US"/>
        </w:rPr>
        <w:t>programme</w:t>
      </w:r>
      <w:proofErr w:type="spellEnd"/>
      <w:r w:rsidRPr="00682CE4">
        <w:rPr>
          <w:lang w:val="en-US"/>
        </w:rPr>
        <w:t xml:space="preserve"> – Nordic </w:t>
      </w:r>
      <w:proofErr w:type="spellStart"/>
      <w:r w:rsidRPr="00682CE4">
        <w:rPr>
          <w:lang w:val="en-US"/>
        </w:rPr>
        <w:t>Flowbased</w:t>
      </w:r>
      <w:proofErr w:type="spellEnd"/>
      <w:r w:rsidRPr="00682CE4">
        <w:rPr>
          <w:lang w:val="en-US"/>
        </w:rPr>
        <w:t xml:space="preserve"> Implementation </w:t>
      </w:r>
      <w:r w:rsidR="00305C22" w:rsidRPr="00682CE4">
        <w:rPr>
          <w:lang w:val="en-US"/>
        </w:rPr>
        <w:t>as a consultancy service</w:t>
      </w:r>
      <w:r w:rsidRPr="00682CE4">
        <w:rPr>
          <w:lang w:val="en-US"/>
        </w:rPr>
        <w:t xml:space="preserve"> to the Customer. Under the Agreement the Customer can purchase the Services the Supplier has described in Appendix 2 (Scope of Works) and priced in Appendix 3 (Price list). </w:t>
      </w:r>
    </w:p>
    <w:p w14:paraId="1D656353" w14:textId="7240F1A6" w:rsidR="00305C22" w:rsidRPr="002029C0" w:rsidRDefault="00305C22" w:rsidP="00305C22">
      <w:pPr>
        <w:pStyle w:val="Heading2"/>
        <w:keepNext w:val="0"/>
        <w:spacing w:after="120"/>
        <w:jc w:val="both"/>
        <w:rPr>
          <w:lang w:val="en-US"/>
        </w:rPr>
      </w:pPr>
      <w:r w:rsidRPr="00682CE4">
        <w:rPr>
          <w:lang w:val="en-US"/>
        </w:rPr>
        <w:t>The</w:t>
      </w:r>
      <w:r w:rsidRPr="002029C0">
        <w:rPr>
          <w:lang w:val="en-US"/>
        </w:rPr>
        <w:t xml:space="preserve"> Agreement is entered into by the Parties based on request for tenders under the threshold limit according to the provisions in Act no. 1564 of 15 December 2015, clause 4 and 5. </w:t>
      </w:r>
    </w:p>
    <w:p w14:paraId="27E5B23D" w14:textId="0AC79112" w:rsidR="00820A4D" w:rsidRDefault="00305C22" w:rsidP="00820A4D">
      <w:pPr>
        <w:pStyle w:val="Heading1"/>
        <w:keepNext w:val="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Contract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documents</w:t>
      </w:r>
      <w:proofErr w:type="spellEnd"/>
    </w:p>
    <w:p w14:paraId="32652AB3" w14:textId="77777777" w:rsidR="00305C22" w:rsidRPr="002029C0" w:rsidRDefault="00305C22" w:rsidP="00305C22">
      <w:pPr>
        <w:pStyle w:val="Heading2"/>
        <w:keepNext w:val="0"/>
        <w:spacing w:after="120"/>
        <w:jc w:val="both"/>
        <w:rPr>
          <w:lang w:val="en-US"/>
        </w:rPr>
      </w:pPr>
      <w:r w:rsidRPr="002029C0">
        <w:rPr>
          <w:lang w:val="en-US"/>
        </w:rPr>
        <w:t>The Agreement consists of this contract document with appendices 1-</w:t>
      </w:r>
      <w:r>
        <w:rPr>
          <w:lang w:val="en-US"/>
        </w:rPr>
        <w:t>5</w:t>
      </w:r>
      <w:r w:rsidRPr="002029C0">
        <w:rPr>
          <w:lang w:val="en-US"/>
        </w:rPr>
        <w:t>. In case of discrepancies between the documents, the priority of the documents shall be as stipulated below where the first mentioned appendix is of highest priority. A lower prioritized document can however complete, clarify or supplement a higher prioritized document:</w:t>
      </w:r>
    </w:p>
    <w:p w14:paraId="3811CA8C" w14:textId="6DF22F9D" w:rsidR="00305C22" w:rsidRPr="002029C0" w:rsidRDefault="00305C22" w:rsidP="00305C22">
      <w:pPr>
        <w:pStyle w:val="Heading2"/>
        <w:keepNext w:val="0"/>
        <w:numPr>
          <w:ilvl w:val="0"/>
          <w:numId w:val="6"/>
        </w:numPr>
        <w:tabs>
          <w:tab w:val="clear" w:pos="709"/>
          <w:tab w:val="left" w:pos="993"/>
        </w:tabs>
        <w:spacing w:line="276" w:lineRule="auto"/>
        <w:ind w:hanging="729"/>
        <w:jc w:val="both"/>
        <w:rPr>
          <w:rFonts w:eastAsiaTheme="minorHAnsi"/>
          <w:lang w:val="en-US" w:eastAsia="en-US"/>
        </w:rPr>
      </w:pPr>
      <w:r w:rsidRPr="002029C0">
        <w:rPr>
          <w:rFonts w:eastAsiaTheme="minorHAnsi"/>
          <w:lang w:val="en-US" w:eastAsia="en-US"/>
        </w:rPr>
        <w:t>This contract Document</w:t>
      </w:r>
    </w:p>
    <w:p w14:paraId="1D943E45" w14:textId="04FF3A2C" w:rsidR="00305C22" w:rsidRPr="002029C0" w:rsidRDefault="00305C22" w:rsidP="26231F75">
      <w:pPr>
        <w:pStyle w:val="Heading2"/>
        <w:keepNext w:val="0"/>
        <w:numPr>
          <w:ilvl w:val="1"/>
          <w:numId w:val="0"/>
        </w:numPr>
        <w:tabs>
          <w:tab w:val="clear" w:pos="709"/>
          <w:tab w:val="left" w:pos="993"/>
        </w:tabs>
        <w:spacing w:line="276" w:lineRule="auto"/>
        <w:ind w:left="1296"/>
        <w:jc w:val="both"/>
        <w:rPr>
          <w:rFonts w:eastAsiaTheme="minorEastAsia"/>
          <w:i/>
          <w:iCs/>
          <w:lang w:val="en-US" w:eastAsia="en-US"/>
        </w:rPr>
      </w:pPr>
      <w:r w:rsidRPr="26231F75">
        <w:rPr>
          <w:rFonts w:eastAsiaTheme="minorEastAsia"/>
          <w:lang w:val="en-US" w:eastAsia="en-US"/>
        </w:rPr>
        <w:lastRenderedPageBreak/>
        <w:t>Appendix 1: Terms and Conditions for IT Consultancy Services</w:t>
      </w:r>
    </w:p>
    <w:p w14:paraId="5D22AE32" w14:textId="36A481E3" w:rsidR="00E90B6F" w:rsidRPr="00E90B6F" w:rsidRDefault="00305C22" w:rsidP="00E90B6F">
      <w:pPr>
        <w:pStyle w:val="Heading2"/>
        <w:keepNext w:val="0"/>
        <w:numPr>
          <w:ilvl w:val="0"/>
          <w:numId w:val="6"/>
        </w:numPr>
        <w:tabs>
          <w:tab w:val="clear" w:pos="709"/>
          <w:tab w:val="left" w:pos="993"/>
        </w:tabs>
        <w:spacing w:line="276" w:lineRule="auto"/>
        <w:ind w:hanging="729"/>
        <w:jc w:val="both"/>
        <w:rPr>
          <w:rFonts w:eastAsiaTheme="minorHAnsi"/>
          <w:color w:val="000000" w:themeColor="text1"/>
          <w:lang w:val="en-US" w:eastAsia="en-US"/>
        </w:rPr>
      </w:pPr>
      <w:r w:rsidRPr="002C7449">
        <w:rPr>
          <w:rFonts w:eastAsiaTheme="minorHAnsi"/>
          <w:color w:val="000000" w:themeColor="text1"/>
          <w:lang w:val="en-US" w:eastAsia="en-US"/>
        </w:rPr>
        <w:t xml:space="preserve">Appendix </w:t>
      </w:r>
      <w:r>
        <w:rPr>
          <w:rFonts w:eastAsiaTheme="minorHAnsi"/>
          <w:color w:val="000000" w:themeColor="text1"/>
          <w:lang w:val="en-US" w:eastAsia="en-US"/>
        </w:rPr>
        <w:t>2</w:t>
      </w:r>
      <w:r w:rsidRPr="002C7449">
        <w:rPr>
          <w:rFonts w:eastAsiaTheme="minorHAnsi"/>
          <w:color w:val="000000" w:themeColor="text1"/>
          <w:lang w:val="en-US" w:eastAsia="en-US"/>
        </w:rPr>
        <w:t xml:space="preserve">: Scope of Works </w:t>
      </w:r>
      <w:r w:rsidR="00A665E0">
        <w:rPr>
          <w:rFonts w:eastAsiaTheme="minorHAnsi"/>
          <w:color w:val="000000" w:themeColor="text1"/>
          <w:lang w:val="en-US" w:eastAsia="en-US"/>
        </w:rPr>
        <w:t>– Project description</w:t>
      </w:r>
    </w:p>
    <w:p w14:paraId="1C5A8C97" w14:textId="4013BDC0" w:rsidR="00E90B6F" w:rsidRDefault="00305C22" w:rsidP="00E90B6F">
      <w:pPr>
        <w:pStyle w:val="Heading2"/>
        <w:keepNext w:val="0"/>
        <w:numPr>
          <w:ilvl w:val="0"/>
          <w:numId w:val="6"/>
        </w:numPr>
        <w:tabs>
          <w:tab w:val="clear" w:pos="709"/>
          <w:tab w:val="left" w:pos="993"/>
        </w:tabs>
        <w:spacing w:line="276" w:lineRule="auto"/>
        <w:ind w:hanging="729"/>
        <w:jc w:val="both"/>
        <w:rPr>
          <w:rFonts w:eastAsiaTheme="minorHAnsi"/>
          <w:color w:val="000000" w:themeColor="text1"/>
          <w:lang w:val="en-US" w:eastAsia="en-US"/>
        </w:rPr>
      </w:pPr>
      <w:r w:rsidRPr="002029C0">
        <w:rPr>
          <w:rFonts w:eastAsiaTheme="minorHAnsi"/>
          <w:color w:val="000000" w:themeColor="text1"/>
          <w:lang w:val="en-US" w:eastAsia="en-US"/>
        </w:rPr>
        <w:t xml:space="preserve">Appendix </w:t>
      </w:r>
      <w:r>
        <w:rPr>
          <w:rFonts w:eastAsiaTheme="minorHAnsi"/>
          <w:color w:val="000000" w:themeColor="text1"/>
          <w:lang w:val="en-US" w:eastAsia="en-US"/>
        </w:rPr>
        <w:t>3</w:t>
      </w:r>
      <w:r w:rsidRPr="002029C0">
        <w:rPr>
          <w:rFonts w:eastAsiaTheme="minorHAnsi"/>
          <w:color w:val="000000" w:themeColor="text1"/>
          <w:lang w:val="en-US" w:eastAsia="en-US"/>
        </w:rPr>
        <w:t>: Price list</w:t>
      </w:r>
    </w:p>
    <w:p w14:paraId="741D68FA" w14:textId="008FA744" w:rsidR="00E90B6F" w:rsidRDefault="00E90B6F" w:rsidP="00E90B6F">
      <w:pPr>
        <w:pStyle w:val="Heading2"/>
        <w:keepNext w:val="0"/>
        <w:numPr>
          <w:ilvl w:val="0"/>
          <w:numId w:val="6"/>
        </w:numPr>
        <w:tabs>
          <w:tab w:val="clear" w:pos="709"/>
          <w:tab w:val="left" w:pos="993"/>
        </w:tabs>
        <w:spacing w:line="276" w:lineRule="auto"/>
        <w:ind w:hanging="729"/>
        <w:jc w:val="both"/>
        <w:rPr>
          <w:rFonts w:eastAsiaTheme="minorHAnsi"/>
          <w:color w:val="000000" w:themeColor="text1"/>
          <w:lang w:val="en-US" w:eastAsia="en-US"/>
        </w:rPr>
      </w:pPr>
      <w:r w:rsidRPr="002029C0">
        <w:rPr>
          <w:rFonts w:eastAsiaTheme="minorHAnsi"/>
          <w:color w:val="000000" w:themeColor="text1"/>
          <w:lang w:val="en-US" w:eastAsia="en-US"/>
        </w:rPr>
        <w:t xml:space="preserve">Appendix </w:t>
      </w:r>
      <w:r>
        <w:rPr>
          <w:rFonts w:eastAsiaTheme="minorHAnsi"/>
          <w:color w:val="000000" w:themeColor="text1"/>
          <w:lang w:val="en-US" w:eastAsia="en-US"/>
        </w:rPr>
        <w:t>4</w:t>
      </w:r>
      <w:r w:rsidRPr="002029C0">
        <w:rPr>
          <w:rFonts w:eastAsiaTheme="minorHAnsi"/>
          <w:color w:val="000000" w:themeColor="text1"/>
          <w:lang w:val="en-US" w:eastAsia="en-US"/>
        </w:rPr>
        <w:t xml:space="preserve">: </w:t>
      </w:r>
      <w:r w:rsidR="00D324A8">
        <w:rPr>
          <w:rFonts w:eastAsiaTheme="minorHAnsi"/>
          <w:color w:val="000000" w:themeColor="text1"/>
          <w:lang w:val="en-US" w:eastAsia="en-US"/>
        </w:rPr>
        <w:t>Business Partner Form</w:t>
      </w:r>
    </w:p>
    <w:p w14:paraId="506352B4" w14:textId="77777777" w:rsidR="00E90B6F" w:rsidRPr="00E90B6F" w:rsidRDefault="00E90B6F" w:rsidP="00E90B6F">
      <w:pPr>
        <w:rPr>
          <w:rFonts w:eastAsiaTheme="minorHAnsi"/>
          <w:lang w:val="en-US" w:eastAsia="en-US"/>
        </w:rPr>
      </w:pPr>
    </w:p>
    <w:p w14:paraId="0B90D0FC" w14:textId="77777777" w:rsidR="00820A4D" w:rsidRPr="00305C22" w:rsidRDefault="00820A4D" w:rsidP="00820A4D">
      <w:pPr>
        <w:pStyle w:val="ListParagraph"/>
        <w:spacing w:line="240" w:lineRule="auto"/>
        <w:ind w:left="927"/>
        <w:rPr>
          <w:lang w:val="en-US"/>
        </w:rPr>
      </w:pPr>
    </w:p>
    <w:p w14:paraId="4DAE1B41" w14:textId="5AF60FF7" w:rsidR="00820A4D" w:rsidRDefault="00305C22" w:rsidP="00820A4D">
      <w:pPr>
        <w:pStyle w:val="Heading1"/>
        <w:keepNext w:val="0"/>
        <w:ind w:left="431" w:hanging="431"/>
        <w:jc w:val="both"/>
      </w:pPr>
      <w:proofErr w:type="spellStart"/>
      <w:r>
        <w:t>Contract</w:t>
      </w:r>
      <w:proofErr w:type="spellEnd"/>
      <w:r>
        <w:t xml:space="preserve"> data</w:t>
      </w:r>
    </w:p>
    <w:p w14:paraId="280DC5D1" w14:textId="77777777" w:rsidR="00305C22" w:rsidRDefault="00305C22" w:rsidP="00305C22">
      <w:pPr>
        <w:spacing w:after="120" w:line="240" w:lineRule="auto"/>
        <w:ind w:left="426"/>
        <w:rPr>
          <w:lang w:val="en-US"/>
        </w:rPr>
      </w:pPr>
      <w:r w:rsidRPr="009E4211">
        <w:rPr>
          <w:lang w:val="en-US"/>
        </w:rPr>
        <w:t>Data in the tabl</w:t>
      </w:r>
      <w:r>
        <w:rPr>
          <w:lang w:val="en-US"/>
        </w:rPr>
        <w:t>e</w:t>
      </w:r>
      <w:r w:rsidRPr="009E4211">
        <w:rPr>
          <w:lang w:val="en-US"/>
        </w:rPr>
        <w:t xml:space="preserve"> b</w:t>
      </w:r>
      <w:r>
        <w:rPr>
          <w:lang w:val="en-US"/>
        </w:rPr>
        <w:t>elow has been inserted on the bases of Appendix 1. If amendments are made to Appendix 1, these will also appear in the table below.</w:t>
      </w:r>
    </w:p>
    <w:p w14:paraId="78652D10" w14:textId="77777777" w:rsidR="00820A4D" w:rsidRPr="00305C22" w:rsidRDefault="00820A4D" w:rsidP="00820A4D">
      <w:pPr>
        <w:spacing w:line="240" w:lineRule="auto"/>
        <w:rPr>
          <w:lang w:val="en-US"/>
        </w:rPr>
      </w:pPr>
    </w:p>
    <w:tbl>
      <w:tblPr>
        <w:tblStyle w:val="TableGrid"/>
        <w:tblW w:w="9043" w:type="dxa"/>
        <w:tblInd w:w="675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48"/>
        <w:gridCol w:w="1388"/>
        <w:gridCol w:w="4507"/>
      </w:tblGrid>
      <w:tr w:rsidR="00820A4D" w14:paraId="42141551" w14:textId="77777777" w:rsidTr="26231F7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C7EA576" w14:textId="52F922CC" w:rsidR="00820A4D" w:rsidRDefault="00305C22">
            <w:pPr>
              <w:suppressAutoHyphens/>
              <w:spacing w:line="240" w:lineRule="auto"/>
              <w:rPr>
                <w:b/>
                <w:color w:val="FFFFFF"/>
                <w:lang w:eastAsia="en-US"/>
              </w:rPr>
            </w:pPr>
            <w:proofErr w:type="spellStart"/>
            <w:r>
              <w:rPr>
                <w:b/>
                <w:color w:val="FFFFFF"/>
                <w:lang w:eastAsia="en-US"/>
              </w:rPr>
              <w:t>Description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19E9A61" w14:textId="17F67311" w:rsidR="00820A4D" w:rsidRDefault="00305C22">
            <w:pPr>
              <w:suppressAutoHyphens/>
              <w:spacing w:line="240" w:lineRule="auto"/>
              <w:rPr>
                <w:b/>
                <w:color w:val="FFFFFF"/>
                <w:lang w:eastAsia="en-US"/>
              </w:rPr>
            </w:pPr>
            <w:r>
              <w:rPr>
                <w:b/>
                <w:color w:val="FFFFFF" w:themeColor="background1"/>
                <w:lang w:eastAsia="en-US"/>
              </w:rPr>
              <w:t>Sub-</w:t>
            </w:r>
            <w:proofErr w:type="spellStart"/>
            <w:r>
              <w:rPr>
                <w:b/>
                <w:color w:val="FFFFFF" w:themeColor="background1"/>
                <w:lang w:eastAsia="en-US"/>
              </w:rPr>
              <w:t>clause</w:t>
            </w:r>
            <w:proofErr w:type="spell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C952E0A" w14:textId="7F3FE6A7" w:rsidR="00820A4D" w:rsidRDefault="00305C22">
            <w:pPr>
              <w:suppressAutoHyphens/>
              <w:spacing w:line="240" w:lineRule="auto"/>
              <w:jc w:val="both"/>
              <w:rPr>
                <w:b/>
                <w:color w:val="FFFFFF"/>
                <w:lang w:eastAsia="en-US"/>
              </w:rPr>
            </w:pPr>
            <w:proofErr w:type="spellStart"/>
            <w:r>
              <w:rPr>
                <w:b/>
                <w:color w:val="FFFFFF"/>
                <w:lang w:eastAsia="en-US"/>
              </w:rPr>
              <w:t>Specification</w:t>
            </w:r>
            <w:proofErr w:type="spellEnd"/>
          </w:p>
        </w:tc>
      </w:tr>
      <w:tr w:rsidR="00820A4D" w:rsidRPr="00342F15" w14:paraId="0A741791" w14:textId="77777777" w:rsidTr="26231F75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82A802" w14:textId="272534B4" w:rsidR="00820A4D" w:rsidRPr="00305C22" w:rsidRDefault="00305C22">
            <w:pPr>
              <w:tabs>
                <w:tab w:val="left" w:pos="269"/>
              </w:tabs>
              <w:spacing w:line="240" w:lineRule="auto"/>
              <w:jc w:val="both"/>
              <w:outlineLvl w:val="1"/>
              <w:rPr>
                <w:b/>
                <w:lang w:val="en-US" w:eastAsia="en-US"/>
              </w:rPr>
            </w:pPr>
            <w:r w:rsidRPr="00305C22">
              <w:rPr>
                <w:b/>
                <w:lang w:val="en-US" w:eastAsia="en-US"/>
              </w:rPr>
              <w:t>The Consultant’s access to r</w:t>
            </w:r>
            <w:r>
              <w:rPr>
                <w:b/>
                <w:lang w:val="en-US" w:eastAsia="en-US"/>
              </w:rPr>
              <w:t>eplacement of employees</w:t>
            </w:r>
          </w:p>
        </w:tc>
      </w:tr>
      <w:tr w:rsidR="00820A4D" w:rsidRPr="00FA53C3" w14:paraId="020950F8" w14:textId="77777777" w:rsidTr="26231F7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B8CA0E" w14:textId="3B8E09B5" w:rsidR="00820A4D" w:rsidRDefault="00305C22">
            <w:pPr>
              <w:suppressAutoHyphens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Key </w:t>
            </w:r>
            <w:proofErr w:type="spellStart"/>
            <w:r>
              <w:rPr>
                <w:lang w:eastAsia="en-US"/>
              </w:rPr>
              <w:t>personnel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2C2D4A" w14:textId="77777777" w:rsidR="00820A4D" w:rsidRDefault="00820A4D">
            <w:pPr>
              <w:suppressAutoHyphens/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6.1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8D4423" w14:textId="77777777" w:rsidR="00305C22" w:rsidRPr="007C1D93" w:rsidRDefault="00305C22" w:rsidP="00305C22">
            <w:pPr>
              <w:suppressAutoHyphens/>
              <w:spacing w:after="120" w:line="240" w:lineRule="auto"/>
              <w:jc w:val="both"/>
              <w:rPr>
                <w:lang w:val="en-US" w:eastAsia="en-US"/>
              </w:rPr>
            </w:pPr>
            <w:r w:rsidRPr="007C1D93">
              <w:rPr>
                <w:lang w:val="en-US" w:eastAsia="en-US"/>
              </w:rPr>
              <w:t xml:space="preserve">The following employees are considered as named employees according to the Agreement: </w:t>
            </w:r>
          </w:p>
          <w:p w14:paraId="27A863CC" w14:textId="12035A43" w:rsidR="00820A4D" w:rsidRPr="00FA53C3" w:rsidRDefault="00305C22" w:rsidP="00305C22">
            <w:pPr>
              <w:pStyle w:val="ListParagraph"/>
              <w:numPr>
                <w:ilvl w:val="0"/>
                <w:numId w:val="3"/>
              </w:numPr>
              <w:tabs>
                <w:tab w:val="left" w:pos="269"/>
              </w:tabs>
              <w:spacing w:line="240" w:lineRule="auto"/>
              <w:ind w:hanging="720"/>
              <w:jc w:val="both"/>
              <w:outlineLvl w:val="1"/>
            </w:pPr>
            <w:r w:rsidRPr="007C1D93">
              <w:rPr>
                <w:highlight w:val="yellow"/>
              </w:rPr>
              <w:t>[</w:t>
            </w:r>
            <w:r w:rsidRPr="007C1D93">
              <w:rPr>
                <w:highlight w:val="yellow"/>
                <w:lang w:val="en-US"/>
              </w:rPr>
              <w:t>Name</w:t>
            </w:r>
            <w:r w:rsidRPr="007C1D93">
              <w:rPr>
                <w:highlight w:val="yellow"/>
              </w:rPr>
              <w:t>]</w:t>
            </w:r>
            <w:r w:rsidRPr="007C1D93">
              <w:t xml:space="preserve">, </w:t>
            </w:r>
            <w:r w:rsidRPr="007C1D93">
              <w:rPr>
                <w:highlight w:val="yellow"/>
              </w:rPr>
              <w:t>[Title]</w:t>
            </w:r>
          </w:p>
        </w:tc>
      </w:tr>
      <w:tr w:rsidR="00820A4D" w14:paraId="0D8A5EEA" w14:textId="77777777" w:rsidTr="26231F75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F4FD" w14:textId="0748BE88" w:rsidR="00820A4D" w:rsidRDefault="00305C22">
            <w:pPr>
              <w:suppressAutoHyphens/>
              <w:spacing w:line="240" w:lineRule="auto"/>
              <w:jc w:val="both"/>
            </w:pPr>
            <w:proofErr w:type="spellStart"/>
            <w:r>
              <w:rPr>
                <w:b/>
                <w:lang w:eastAsia="en-US"/>
              </w:rPr>
              <w:t>Consultant’s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payment</w:t>
            </w:r>
            <w:proofErr w:type="spellEnd"/>
          </w:p>
        </w:tc>
      </w:tr>
      <w:tr w:rsidR="00820A4D" w:rsidRPr="00342F15" w14:paraId="62F15105" w14:textId="77777777" w:rsidTr="26231F7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7E8B0" w14:textId="155BC2DD" w:rsidR="00820A4D" w:rsidRDefault="00615675">
            <w:pPr>
              <w:tabs>
                <w:tab w:val="left" w:pos="567"/>
              </w:tabs>
              <w:suppressAutoHyphens/>
              <w:spacing w:line="240" w:lineRule="auto"/>
              <w:outlineLvl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Contract</w:t>
            </w:r>
            <w:proofErr w:type="spellEnd"/>
            <w:r>
              <w:rPr>
                <w:lang w:eastAsia="en-US"/>
              </w:rPr>
              <w:t xml:space="preserve"> Price</w:t>
            </w:r>
          </w:p>
          <w:p w14:paraId="7D566BD2" w14:textId="77777777" w:rsidR="00820A4D" w:rsidRDefault="00820A4D">
            <w:pPr>
              <w:tabs>
                <w:tab w:val="left" w:pos="567"/>
              </w:tabs>
              <w:suppressAutoHyphens/>
              <w:spacing w:line="240" w:lineRule="auto"/>
              <w:outlineLvl w:val="0"/>
              <w:rPr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7346DB" w14:textId="77777777" w:rsidR="00820A4D" w:rsidRDefault="00820A4D">
            <w:pPr>
              <w:suppressAutoHyphens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722B3C" w14:textId="566EF89D" w:rsidR="00820A4D" w:rsidRDefault="00615675">
            <w:pPr>
              <w:suppressAutoHyphens/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Offered agreement value/price is stated in appendix 3.</w:t>
            </w:r>
          </w:p>
        </w:tc>
      </w:tr>
      <w:tr w:rsidR="00820A4D" w14:paraId="7CAB6B88" w14:textId="77777777" w:rsidTr="26231F75"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BE1DCF" w14:textId="36D2ED65" w:rsidR="00820A4D" w:rsidRDefault="00615675">
            <w:pPr>
              <w:tabs>
                <w:tab w:val="left" w:pos="567"/>
              </w:tabs>
              <w:suppressAutoHyphens/>
              <w:spacing w:line="240" w:lineRule="auto"/>
              <w:outlineLvl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Currency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8A64BE" w14:textId="3AC5BBC3" w:rsidR="00820A4D" w:rsidRDefault="00820A4D">
            <w:pPr>
              <w:suppressAutoHyphens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 w:rsidR="006062C5">
              <w:rPr>
                <w:lang w:eastAsia="en-US"/>
              </w:rPr>
              <w:t>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479EFE" w14:textId="11698E38" w:rsidR="00820A4D" w:rsidRDefault="007A22CD">
            <w:pPr>
              <w:pStyle w:val="Heading2"/>
              <w:keepNext w:val="0"/>
              <w:numPr>
                <w:ilvl w:val="0"/>
                <w:numId w:val="0"/>
              </w:numPr>
              <w:spacing w:after="120" w:line="288" w:lineRule="auto"/>
              <w:jc w:val="both"/>
              <w:outlineLvl w:val="1"/>
              <w:rPr>
                <w:highlight w:val="yellow"/>
              </w:rPr>
            </w:pPr>
            <w:r>
              <w:t>EUR</w:t>
            </w:r>
          </w:p>
        </w:tc>
      </w:tr>
      <w:tr w:rsidR="00820A4D" w:rsidRPr="00342F15" w14:paraId="19804A6E" w14:textId="77777777" w:rsidTr="26231F75"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494ADF" w14:textId="38808E52" w:rsidR="00820A4D" w:rsidRDefault="00615675">
            <w:pPr>
              <w:tabs>
                <w:tab w:val="left" w:pos="567"/>
              </w:tabs>
              <w:suppressAutoHyphens/>
              <w:spacing w:line="240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Payment plan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A40A1" w14:textId="77777777" w:rsidR="00820A4D" w:rsidRDefault="00820A4D">
            <w:pPr>
              <w:suppressAutoHyphens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11.6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1E1E61" w14:textId="085A32F8" w:rsidR="00820A4D" w:rsidRPr="00615675" w:rsidRDefault="00615675">
            <w:pPr>
              <w:pStyle w:val="Heading2"/>
              <w:keepNext w:val="0"/>
              <w:numPr>
                <w:ilvl w:val="0"/>
                <w:numId w:val="0"/>
              </w:numPr>
              <w:spacing w:line="288" w:lineRule="auto"/>
              <w:jc w:val="both"/>
              <w:outlineLvl w:val="1"/>
              <w:rPr>
                <w:highlight w:val="yellow"/>
                <w:lang w:val="en-US"/>
              </w:rPr>
            </w:pPr>
            <w:r w:rsidRPr="008F7EAD">
              <w:rPr>
                <w:lang w:val="en-US"/>
              </w:rPr>
              <w:t xml:space="preserve">Invoice is sent monthly at the end of the month. </w:t>
            </w:r>
            <w:r w:rsidRPr="008D48A8">
              <w:rPr>
                <w:lang w:val="en-US"/>
              </w:rPr>
              <w:t xml:space="preserve"> </w:t>
            </w:r>
          </w:p>
        </w:tc>
      </w:tr>
      <w:tr w:rsidR="00820A4D" w14:paraId="059300EA" w14:textId="77777777" w:rsidTr="26231F75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139B" w14:textId="23148580" w:rsidR="00820A4D" w:rsidRDefault="00820A4D">
            <w:pPr>
              <w:tabs>
                <w:tab w:val="left" w:pos="567"/>
              </w:tabs>
              <w:suppressAutoHyphens/>
              <w:spacing w:line="240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Pri</w:t>
            </w:r>
            <w:r w:rsidR="00615675">
              <w:rPr>
                <w:lang w:eastAsia="en-US"/>
              </w:rPr>
              <w:t xml:space="preserve">ce </w:t>
            </w:r>
            <w:proofErr w:type="spellStart"/>
            <w:r w:rsidR="00615675">
              <w:rPr>
                <w:lang w:eastAsia="en-US"/>
              </w:rPr>
              <w:t>regulation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39C" w14:textId="77777777" w:rsidR="00820A4D" w:rsidRDefault="00820A4D">
            <w:pPr>
              <w:suppressAutoHyphens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9.2</w:t>
            </w:r>
          </w:p>
          <w:p w14:paraId="759FECA3" w14:textId="77777777" w:rsidR="00820A4D" w:rsidRDefault="00820A4D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28AC" w14:textId="3158223F" w:rsidR="00820A4D" w:rsidRDefault="00615675">
            <w:pPr>
              <w:pStyle w:val="Heading2"/>
              <w:keepNext w:val="0"/>
              <w:numPr>
                <w:ilvl w:val="0"/>
                <w:numId w:val="0"/>
              </w:numPr>
              <w:spacing w:after="120" w:line="288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No </w:t>
            </w:r>
            <w:proofErr w:type="spellStart"/>
            <w:r>
              <w:rPr>
                <w:lang w:eastAsia="en-US"/>
              </w:rPr>
              <w:t>price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regulation</w:t>
            </w:r>
            <w:proofErr w:type="spellEnd"/>
          </w:p>
        </w:tc>
      </w:tr>
      <w:tr w:rsidR="00820A4D" w14:paraId="4019FB50" w14:textId="77777777" w:rsidTr="26231F7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96CDD9" w14:textId="5DF0884E" w:rsidR="00820A4D" w:rsidRDefault="00615675">
            <w:pPr>
              <w:tabs>
                <w:tab w:val="left" w:pos="567"/>
              </w:tabs>
              <w:suppressAutoHyphens/>
              <w:spacing w:line="240" w:lineRule="auto"/>
              <w:outlineLvl w:val="0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Transportation- and accommodation costs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3EA8D" w14:textId="77777777" w:rsidR="00820A4D" w:rsidRDefault="00820A4D">
            <w:pPr>
              <w:suppressAutoHyphens/>
              <w:spacing w:line="240" w:lineRule="auto"/>
              <w:rPr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A12A4" w14:textId="77777777" w:rsidR="00820A4D" w:rsidRDefault="00820A4D">
            <w:pPr>
              <w:suppressAutoHyphens/>
              <w:spacing w:line="240" w:lineRule="auto"/>
              <w:jc w:val="both"/>
            </w:pPr>
          </w:p>
        </w:tc>
      </w:tr>
      <w:tr w:rsidR="00820A4D" w14:paraId="6B9F193D" w14:textId="77777777" w:rsidTr="26231F7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0ED1" w14:textId="2DDF0F64" w:rsidR="00820A4D" w:rsidRDefault="00820A4D">
            <w:pPr>
              <w:tabs>
                <w:tab w:val="left" w:pos="567"/>
              </w:tabs>
              <w:suppressAutoHyphens/>
              <w:spacing w:line="240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="00615675">
              <w:rPr>
                <w:lang w:eastAsia="en-US"/>
              </w:rPr>
              <w:t>ocation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5133" w14:textId="77777777" w:rsidR="00820A4D" w:rsidRDefault="00820A4D">
            <w:pPr>
              <w:suppressAutoHyphens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F33B" w14:textId="01E3E892" w:rsidR="00820A4D" w:rsidRDefault="00820A4D">
            <w:pPr>
              <w:suppressAutoHyphens/>
              <w:spacing w:line="240" w:lineRule="auto"/>
              <w:jc w:val="both"/>
            </w:pPr>
            <w:r>
              <w:t>Ørestads B</w:t>
            </w:r>
            <w:r w:rsidR="003A2A86">
              <w:t>oulevard</w:t>
            </w:r>
            <w:r>
              <w:t xml:space="preserve"> 114, 2300 København</w:t>
            </w:r>
          </w:p>
        </w:tc>
      </w:tr>
      <w:tr w:rsidR="00820A4D" w14:paraId="563409AC" w14:textId="77777777" w:rsidTr="26231F75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2E46" w14:textId="382A4232" w:rsidR="00820A4D" w:rsidRDefault="00615675">
            <w:pPr>
              <w:suppressAutoHyphens/>
              <w:spacing w:line="240" w:lineRule="auto"/>
              <w:jc w:val="both"/>
            </w:pPr>
            <w:r>
              <w:rPr>
                <w:b/>
                <w:lang w:val="en-US" w:eastAsia="en-US"/>
              </w:rPr>
              <w:t>Invoice and payment</w:t>
            </w:r>
          </w:p>
        </w:tc>
      </w:tr>
      <w:tr w:rsidR="00820A4D" w:rsidRPr="00342F15" w14:paraId="2EBA152F" w14:textId="77777777" w:rsidTr="26231F75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E5F" w14:textId="7D3A8DA5" w:rsidR="00820A4D" w:rsidRPr="00615675" w:rsidRDefault="00615675">
            <w:pPr>
              <w:suppressAutoHyphens/>
              <w:spacing w:line="240" w:lineRule="auto"/>
              <w:jc w:val="both"/>
              <w:rPr>
                <w:lang w:val="en-US"/>
              </w:rPr>
            </w:pPr>
            <w:r w:rsidRPr="00615675">
              <w:rPr>
                <w:lang w:val="en-US"/>
              </w:rPr>
              <w:t>Terms of payment</w:t>
            </w:r>
            <w:r w:rsidR="00820A4D" w:rsidRPr="00615675">
              <w:rPr>
                <w:lang w:val="en-US"/>
              </w:rPr>
              <w:t xml:space="preserve"> </w:t>
            </w:r>
          </w:p>
          <w:p w14:paraId="2EA55CB9" w14:textId="77777777" w:rsidR="00820A4D" w:rsidRPr="00615675" w:rsidRDefault="00820A4D">
            <w:pPr>
              <w:suppressAutoHyphens/>
              <w:spacing w:line="240" w:lineRule="auto"/>
              <w:jc w:val="both"/>
              <w:rPr>
                <w:lang w:val="en-US"/>
              </w:rPr>
            </w:pPr>
          </w:p>
          <w:p w14:paraId="18E2E280" w14:textId="77777777" w:rsidR="00820A4D" w:rsidRPr="00615675" w:rsidRDefault="00820A4D">
            <w:pPr>
              <w:tabs>
                <w:tab w:val="left" w:pos="567"/>
              </w:tabs>
              <w:suppressAutoHyphens/>
              <w:spacing w:line="240" w:lineRule="auto"/>
              <w:outlineLvl w:val="0"/>
              <w:rPr>
                <w:lang w:val="en-US" w:eastAsia="en-US"/>
              </w:rPr>
            </w:pPr>
          </w:p>
          <w:p w14:paraId="5318124E" w14:textId="5E74DF36" w:rsidR="00820A4D" w:rsidRPr="00615675" w:rsidRDefault="00820A4D">
            <w:pPr>
              <w:tabs>
                <w:tab w:val="left" w:pos="567"/>
              </w:tabs>
              <w:suppressAutoHyphens/>
              <w:spacing w:line="240" w:lineRule="auto"/>
              <w:outlineLvl w:val="0"/>
              <w:rPr>
                <w:lang w:val="en-US" w:eastAsia="en-US"/>
              </w:rPr>
            </w:pPr>
            <w:r w:rsidRPr="00615675">
              <w:rPr>
                <w:lang w:val="en-US" w:eastAsia="en-US"/>
              </w:rPr>
              <w:t>S</w:t>
            </w:r>
            <w:r w:rsidR="00615675" w:rsidRPr="00615675">
              <w:rPr>
                <w:lang w:val="en-US" w:eastAsia="en-US"/>
              </w:rPr>
              <w:t>elf-b</w:t>
            </w:r>
            <w:r w:rsidR="00615675">
              <w:rPr>
                <w:lang w:val="en-US" w:eastAsia="en-US"/>
              </w:rPr>
              <w:t>illing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0F4" w14:textId="233A0917" w:rsidR="00820A4D" w:rsidRDefault="00820A4D">
            <w:pPr>
              <w:suppressAutoHyphens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  <w:r w:rsidR="009E0FC1">
              <w:rPr>
                <w:lang w:eastAsia="en-US"/>
              </w:rPr>
              <w:t>6</w:t>
            </w:r>
          </w:p>
          <w:p w14:paraId="082E3996" w14:textId="77777777" w:rsidR="00820A4D" w:rsidRDefault="00820A4D">
            <w:pPr>
              <w:suppressAutoHyphens/>
              <w:spacing w:line="240" w:lineRule="auto"/>
              <w:rPr>
                <w:lang w:eastAsia="en-US"/>
              </w:rPr>
            </w:pPr>
          </w:p>
          <w:p w14:paraId="7063D3E8" w14:textId="77777777" w:rsidR="00820A4D" w:rsidRDefault="00820A4D">
            <w:pPr>
              <w:suppressAutoHyphens/>
              <w:spacing w:line="240" w:lineRule="auto"/>
              <w:rPr>
                <w:lang w:eastAsia="en-US"/>
              </w:rPr>
            </w:pPr>
          </w:p>
          <w:p w14:paraId="40C54FC3" w14:textId="77777777" w:rsidR="00820A4D" w:rsidRDefault="00820A4D">
            <w:pPr>
              <w:suppressAutoHyphens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9.5-9.7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06B4" w14:textId="77777777" w:rsidR="00615675" w:rsidRPr="00AB4A01" w:rsidRDefault="00615675" w:rsidP="00615675">
            <w:pPr>
              <w:suppressAutoHyphens/>
              <w:spacing w:line="240" w:lineRule="auto"/>
              <w:jc w:val="both"/>
              <w:rPr>
                <w:lang w:val="en-US"/>
              </w:rPr>
            </w:pPr>
            <w:r w:rsidRPr="00AB4A01">
              <w:rPr>
                <w:lang w:val="en-US"/>
              </w:rPr>
              <w:t>30 cal</w:t>
            </w:r>
            <w:r>
              <w:rPr>
                <w:lang w:val="en-US"/>
              </w:rPr>
              <w:t>e</w:t>
            </w:r>
            <w:r w:rsidRPr="00AB4A01">
              <w:rPr>
                <w:lang w:val="en-US"/>
              </w:rPr>
              <w:t>ndar da</w:t>
            </w:r>
            <w:r>
              <w:rPr>
                <w:lang w:val="en-US"/>
              </w:rPr>
              <w:t>ys</w:t>
            </w:r>
            <w:r w:rsidRPr="00AB4A01">
              <w:rPr>
                <w:lang w:val="en-US"/>
              </w:rPr>
              <w:t xml:space="preserve"> after </w:t>
            </w:r>
            <w:r>
              <w:rPr>
                <w:lang w:val="en-US"/>
              </w:rPr>
              <w:t>the Customer</w:t>
            </w:r>
            <w:r w:rsidRPr="00AB4A01">
              <w:rPr>
                <w:lang w:val="en-US"/>
              </w:rPr>
              <w:t xml:space="preserve"> has received the final inv</w:t>
            </w:r>
            <w:r>
              <w:rPr>
                <w:lang w:val="en-US"/>
              </w:rPr>
              <w:t xml:space="preserve">oice. </w:t>
            </w:r>
            <w:r w:rsidRPr="00AB4A01">
              <w:rPr>
                <w:lang w:val="en-US"/>
              </w:rPr>
              <w:t xml:space="preserve"> </w:t>
            </w:r>
          </w:p>
          <w:p w14:paraId="2CF2518F" w14:textId="77777777" w:rsidR="00820A4D" w:rsidRPr="00615675" w:rsidRDefault="00820A4D">
            <w:pPr>
              <w:suppressAutoHyphens/>
              <w:spacing w:line="240" w:lineRule="auto"/>
              <w:jc w:val="both"/>
              <w:rPr>
                <w:lang w:val="en-US"/>
              </w:rPr>
            </w:pPr>
          </w:p>
          <w:p w14:paraId="672FB3E3" w14:textId="7FA51A2E" w:rsidR="00820A4D" w:rsidRPr="00615675" w:rsidRDefault="00615675" w:rsidP="00C6020F">
            <w:pPr>
              <w:spacing w:after="120" w:line="240" w:lineRule="auto"/>
              <w:rPr>
                <w:lang w:val="en-US"/>
              </w:rPr>
            </w:pPr>
            <w:r w:rsidRPr="00262D27">
              <w:rPr>
                <w:lang w:val="en-US"/>
              </w:rPr>
              <w:t>Payment is based on the following information</w:t>
            </w:r>
            <w:r w:rsidR="00820A4D" w:rsidRPr="00615675">
              <w:rPr>
                <w:lang w:val="en-US"/>
              </w:rPr>
              <w:t xml:space="preserve">: </w:t>
            </w:r>
          </w:p>
          <w:p w14:paraId="3C2BAACA" w14:textId="72537585" w:rsidR="00820A4D" w:rsidRDefault="00615675" w:rsidP="00C6020F">
            <w:pPr>
              <w:rPr>
                <w:lang w:val="en-US"/>
              </w:rPr>
            </w:pPr>
            <w:r w:rsidRPr="00615675">
              <w:rPr>
                <w:lang w:val="en-US"/>
              </w:rPr>
              <w:t>The Supplier shall send electronic invoice to the Cos</w:t>
            </w:r>
            <w:r>
              <w:rPr>
                <w:lang w:val="en-US"/>
              </w:rPr>
              <w:t>t</w:t>
            </w:r>
            <w:r w:rsidRPr="00615675">
              <w:rPr>
                <w:lang w:val="en-US"/>
              </w:rPr>
              <w:t>umer marked wi</w:t>
            </w:r>
            <w:r>
              <w:rPr>
                <w:lang w:val="en-US"/>
              </w:rPr>
              <w:t xml:space="preserve">th </w:t>
            </w:r>
            <w:r w:rsidR="00453F74" w:rsidRPr="00615675">
              <w:rPr>
                <w:lang w:val="en-US"/>
              </w:rPr>
              <w:t>Purchase Order N</w:t>
            </w:r>
            <w:r>
              <w:rPr>
                <w:lang w:val="en-US"/>
              </w:rPr>
              <w:t>o</w:t>
            </w:r>
            <w:r w:rsidR="00453F74" w:rsidRPr="00615675">
              <w:rPr>
                <w:lang w:val="en-US"/>
              </w:rPr>
              <w:t>.</w:t>
            </w:r>
            <w:r w:rsidR="001E5D79" w:rsidRPr="00615675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lastRenderedPageBreak/>
              <w:t>person and</w:t>
            </w:r>
            <w:r w:rsidR="00453F74" w:rsidRPr="00615675">
              <w:rPr>
                <w:lang w:val="en-US"/>
              </w:rPr>
              <w:t xml:space="preserve"> EAN.nr. </w:t>
            </w:r>
            <w:r w:rsidR="00453F74" w:rsidRPr="00615675">
              <w:rPr>
                <w:rStyle w:val="normaltextrun"/>
                <w:rFonts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5790002646614</w:t>
            </w:r>
            <w:r w:rsidR="00453F74" w:rsidRPr="00615675">
              <w:rPr>
                <w:lang w:val="en-US"/>
              </w:rPr>
              <w:t xml:space="preserve">. </w:t>
            </w:r>
            <w:r w:rsidRPr="00615675">
              <w:rPr>
                <w:lang w:val="en-US"/>
              </w:rPr>
              <w:t>The Costumer pays the invoice no later than 30 days after receiving th</w:t>
            </w:r>
            <w:r>
              <w:rPr>
                <w:lang w:val="en-US"/>
              </w:rPr>
              <w:t>e invoice if the invoice is accepted.</w:t>
            </w:r>
            <w:r w:rsidR="00453F74" w:rsidRPr="00615675">
              <w:rPr>
                <w:lang w:val="en-US"/>
              </w:rPr>
              <w:t xml:space="preserve"> </w:t>
            </w:r>
          </w:p>
          <w:p w14:paraId="64462BA4" w14:textId="77777777" w:rsidR="00615675" w:rsidRPr="00615675" w:rsidRDefault="00615675" w:rsidP="00C6020F">
            <w:pPr>
              <w:spacing w:after="120" w:line="240" w:lineRule="auto"/>
              <w:rPr>
                <w:lang w:val="en-US"/>
              </w:rPr>
            </w:pPr>
          </w:p>
          <w:p w14:paraId="3E237BDC" w14:textId="77777777" w:rsidR="00615675" w:rsidRPr="00615675" w:rsidRDefault="00615675" w:rsidP="00C6020F">
            <w:pPr>
              <w:spacing w:after="120" w:line="240" w:lineRule="auto"/>
              <w:rPr>
                <w:lang w:val="en-US"/>
              </w:rPr>
            </w:pPr>
            <w:r w:rsidRPr="00615675">
              <w:rPr>
                <w:lang w:val="en-US"/>
              </w:rPr>
              <w:t>The billing procedure is as follows:</w:t>
            </w:r>
          </w:p>
          <w:p w14:paraId="7DA97BDE" w14:textId="0234C984" w:rsidR="00771F31" w:rsidRPr="00615675" w:rsidRDefault="00615675" w:rsidP="00C6020F">
            <w:pPr>
              <w:spacing w:after="120" w:line="240" w:lineRule="auto"/>
              <w:rPr>
                <w:lang w:val="en-US"/>
              </w:rPr>
            </w:pPr>
            <w:r w:rsidRPr="00615675">
              <w:rPr>
                <w:lang w:val="en-US"/>
              </w:rPr>
              <w:t>Invoice is sent to</w:t>
            </w:r>
            <w:r w:rsidR="00534119" w:rsidRPr="00615675">
              <w:rPr>
                <w:lang w:val="en-US"/>
              </w:rPr>
              <w:t xml:space="preserve"> </w:t>
            </w:r>
            <w:hyperlink r:id="rId10" w:history="1">
              <w:r w:rsidR="00534119" w:rsidRPr="00615675">
                <w:rPr>
                  <w:rStyle w:val="Hyperlink"/>
                  <w:lang w:val="en-US"/>
                </w:rPr>
                <w:t>invoices@nordic-rcc.net</w:t>
              </w:r>
            </w:hyperlink>
            <w:r w:rsidR="00534119" w:rsidRPr="00615675">
              <w:rPr>
                <w:lang w:val="en-US"/>
              </w:rPr>
              <w:t xml:space="preserve"> </w:t>
            </w:r>
            <w:r w:rsidRPr="00615675">
              <w:rPr>
                <w:lang w:val="en-US"/>
              </w:rPr>
              <w:t>w</w:t>
            </w:r>
            <w:r>
              <w:rPr>
                <w:lang w:val="en-US"/>
              </w:rPr>
              <w:t>ith following recipient:</w:t>
            </w:r>
          </w:p>
          <w:p w14:paraId="18F7085A" w14:textId="007BA375" w:rsidR="00534119" w:rsidRPr="00615675" w:rsidRDefault="00615675" w:rsidP="00C6020F">
            <w:pPr>
              <w:spacing w:after="120" w:line="240" w:lineRule="auto"/>
              <w:rPr>
                <w:lang w:val="en-US"/>
              </w:rPr>
            </w:pPr>
            <w:r w:rsidRPr="00615675">
              <w:rPr>
                <w:lang w:val="en-US"/>
              </w:rPr>
              <w:t>Company name</w:t>
            </w:r>
            <w:r w:rsidR="003105B9" w:rsidRPr="00615675">
              <w:rPr>
                <w:lang w:val="en-US"/>
              </w:rPr>
              <w:t xml:space="preserve">: </w:t>
            </w:r>
            <w:r w:rsidR="00534119" w:rsidRPr="00615675">
              <w:rPr>
                <w:lang w:val="en-US"/>
              </w:rPr>
              <w:t>Nordic RCC A/S</w:t>
            </w:r>
          </w:p>
          <w:p w14:paraId="33F521D7" w14:textId="462CFA5C" w:rsidR="003105B9" w:rsidRPr="00615675" w:rsidRDefault="00615675" w:rsidP="00C6020F">
            <w:pPr>
              <w:spacing w:after="120" w:line="240" w:lineRule="auto"/>
              <w:rPr>
                <w:lang w:val="en-US"/>
              </w:rPr>
            </w:pPr>
            <w:r w:rsidRPr="00615675">
              <w:rPr>
                <w:lang w:val="en-US"/>
              </w:rPr>
              <w:t>Company reg. no</w:t>
            </w:r>
            <w:r w:rsidR="003105B9" w:rsidRPr="00615675">
              <w:rPr>
                <w:lang w:val="en-US"/>
              </w:rPr>
              <w:t>. 42882585</w:t>
            </w:r>
          </w:p>
          <w:p w14:paraId="30FF451E" w14:textId="3B7AD1A1" w:rsidR="003105B9" w:rsidRPr="00615675" w:rsidRDefault="1D0DF87C" w:rsidP="26231F75">
            <w:pPr>
              <w:spacing w:after="120" w:line="240" w:lineRule="auto"/>
              <w:rPr>
                <w:lang w:val="en-US"/>
              </w:rPr>
            </w:pPr>
            <w:proofErr w:type="spellStart"/>
            <w:r w:rsidRPr="26231F75">
              <w:rPr>
                <w:lang w:val="en-US"/>
              </w:rPr>
              <w:t>Adress</w:t>
            </w:r>
            <w:proofErr w:type="spellEnd"/>
            <w:r w:rsidRPr="26231F75">
              <w:rPr>
                <w:lang w:val="en-US"/>
              </w:rPr>
              <w:t>: c/o Copenhagen Towers</w:t>
            </w:r>
            <w:r w:rsidR="39A79531" w:rsidRPr="26231F75">
              <w:rPr>
                <w:lang w:val="en-US"/>
              </w:rPr>
              <w:t xml:space="preserve">, </w:t>
            </w:r>
          </w:p>
          <w:p w14:paraId="1BCD287D" w14:textId="5BCACEAE" w:rsidR="003105B9" w:rsidRPr="00121648" w:rsidRDefault="39A79531" w:rsidP="00C6020F">
            <w:pPr>
              <w:spacing w:after="120" w:line="240" w:lineRule="auto"/>
            </w:pPr>
            <w:r w:rsidRPr="00121648">
              <w:t>Ørestads Boulevard 114, 2300 København S</w:t>
            </w:r>
          </w:p>
          <w:p w14:paraId="62A5E84B" w14:textId="51785C84" w:rsidR="000A3ABE" w:rsidRPr="00121648" w:rsidRDefault="003003C4" w:rsidP="00C6020F">
            <w:pPr>
              <w:spacing w:after="120" w:line="240" w:lineRule="auto"/>
            </w:pPr>
            <w:r w:rsidRPr="00121648">
              <w:t>EAN n</w:t>
            </w:r>
            <w:r w:rsidR="00615675" w:rsidRPr="00121648">
              <w:t>o</w:t>
            </w:r>
            <w:r w:rsidRPr="00121648">
              <w:t>.:</w:t>
            </w:r>
            <w:r w:rsidR="001E5D79" w:rsidRPr="00121648">
              <w:t xml:space="preserve"> 5790002646614</w:t>
            </w:r>
            <w:r w:rsidR="000A3ABE" w:rsidRPr="00121648">
              <w:t xml:space="preserve"> </w:t>
            </w:r>
          </w:p>
          <w:p w14:paraId="37FE4161" w14:textId="215A49CE" w:rsidR="000D30C8" w:rsidRPr="00121648" w:rsidRDefault="000D30C8" w:rsidP="00C6020F">
            <w:pPr>
              <w:spacing w:after="120" w:line="240" w:lineRule="auto"/>
            </w:pPr>
          </w:p>
          <w:p w14:paraId="03CAAA90" w14:textId="1F05A389" w:rsidR="002B3AD2" w:rsidRPr="00465EDA" w:rsidRDefault="00465EDA" w:rsidP="00C6020F">
            <w:pPr>
              <w:spacing w:after="120" w:line="240" w:lineRule="auto"/>
              <w:rPr>
                <w:lang w:val="en-US"/>
              </w:rPr>
            </w:pPr>
            <w:r>
              <w:rPr>
                <w:lang w:val="en-US"/>
              </w:rPr>
              <w:t>If there are q</w:t>
            </w:r>
            <w:r w:rsidRPr="00465EDA">
              <w:rPr>
                <w:lang w:val="en-US"/>
              </w:rPr>
              <w:t>uestions regarding the billing p</w:t>
            </w:r>
            <w:r>
              <w:rPr>
                <w:lang w:val="en-US"/>
              </w:rPr>
              <w:t xml:space="preserve">rocess, please contact: </w:t>
            </w:r>
            <w:hyperlink r:id="rId11" w:history="1">
              <w:r w:rsidR="002B3AD2" w:rsidRPr="00465EDA">
                <w:rPr>
                  <w:rStyle w:val="Hyperlink"/>
                  <w:lang w:val="en-US"/>
                </w:rPr>
                <w:t>accounting@nordic-rcc.net</w:t>
              </w:r>
            </w:hyperlink>
            <w:r w:rsidR="002B3AD2" w:rsidRPr="00465EDA">
              <w:rPr>
                <w:lang w:val="en-US"/>
              </w:rPr>
              <w:t xml:space="preserve"> </w:t>
            </w:r>
          </w:p>
          <w:p w14:paraId="302CC3AD" w14:textId="77777777" w:rsidR="00465EDA" w:rsidRPr="0034667C" w:rsidRDefault="00465EDA" w:rsidP="00C6020F">
            <w:pPr>
              <w:spacing w:line="240" w:lineRule="auto"/>
              <w:rPr>
                <w:lang w:val="en-US"/>
              </w:rPr>
            </w:pPr>
          </w:p>
          <w:p w14:paraId="7243D11C" w14:textId="59214EA1" w:rsidR="00820A4D" w:rsidRPr="00465EDA" w:rsidRDefault="11C60347" w:rsidP="00C6020F">
            <w:pPr>
              <w:spacing w:line="240" w:lineRule="auto"/>
              <w:rPr>
                <w:lang w:val="en-US"/>
              </w:rPr>
            </w:pPr>
            <w:r w:rsidRPr="26231F75">
              <w:rPr>
                <w:lang w:val="en-US"/>
              </w:rPr>
              <w:t>The Supplier is obligated to notify Nordic-RCC in writing if any changes are made to the Supplier’s bank account information.</w:t>
            </w:r>
          </w:p>
        </w:tc>
      </w:tr>
      <w:tr w:rsidR="00820A4D" w14:paraId="42C17218" w14:textId="77777777" w:rsidTr="26231F75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CB8936" w14:textId="1F47F6A7" w:rsidR="00820A4D" w:rsidRDefault="00465EDA">
            <w:pPr>
              <w:tabs>
                <w:tab w:val="left" w:pos="567"/>
              </w:tabs>
              <w:suppressAutoHyphens/>
              <w:spacing w:line="240" w:lineRule="auto"/>
              <w:outlineLvl w:val="0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lastRenderedPageBreak/>
              <w:t>Liability</w:t>
            </w:r>
            <w:proofErr w:type="spellEnd"/>
            <w:r w:rsidR="00820A4D">
              <w:rPr>
                <w:b/>
                <w:lang w:eastAsia="en-US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BADFE" w14:textId="77777777" w:rsidR="00820A4D" w:rsidRDefault="00820A4D">
            <w:pPr>
              <w:suppressAutoHyphens/>
              <w:spacing w:line="240" w:lineRule="auto"/>
              <w:rPr>
                <w:lang w:eastAsia="en-US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EA6CA" w14:textId="77777777" w:rsidR="00820A4D" w:rsidRDefault="00820A4D">
            <w:pPr>
              <w:suppressAutoHyphens/>
              <w:spacing w:line="240" w:lineRule="auto"/>
              <w:jc w:val="both"/>
            </w:pPr>
          </w:p>
        </w:tc>
      </w:tr>
      <w:tr w:rsidR="00820A4D" w14:paraId="3DA71838" w14:textId="77777777" w:rsidTr="26231F75"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42CCFA" w14:textId="565B3CCD" w:rsidR="00820A4D" w:rsidRDefault="00465EDA">
            <w:pPr>
              <w:tabs>
                <w:tab w:val="left" w:pos="567"/>
              </w:tabs>
              <w:suppressAutoHyphens/>
              <w:spacing w:line="240" w:lineRule="auto"/>
              <w:outlineLvl w:val="0"/>
              <w:rPr>
                <w:lang w:eastAsia="en-US"/>
              </w:rPr>
            </w:pPr>
            <w:r w:rsidRPr="002029C0">
              <w:rPr>
                <w:lang w:val="en-US" w:eastAsia="en-US"/>
              </w:rPr>
              <w:t>R</w:t>
            </w:r>
            <w:r>
              <w:rPr>
                <w:lang w:val="en-US" w:eastAsia="en-US"/>
              </w:rPr>
              <w:t>ight to remedy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BE4686" w14:textId="77777777" w:rsidR="00820A4D" w:rsidRDefault="00820A4D">
            <w:pPr>
              <w:suppressAutoHyphens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14.7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A442E5" w14:textId="41E752EB" w:rsidR="00820A4D" w:rsidRDefault="00465EDA" w:rsidP="00C6020F">
            <w:pPr>
              <w:suppressAutoHyphens/>
              <w:spacing w:line="240" w:lineRule="auto"/>
            </w:pPr>
            <w:r>
              <w:rPr>
                <w:lang w:val="en-US"/>
              </w:rPr>
              <w:t xml:space="preserve">1 year after delivery </w:t>
            </w:r>
            <w:r w:rsidRPr="002029C0">
              <w:rPr>
                <w:lang w:val="en-US"/>
              </w:rPr>
              <w:t xml:space="preserve"> </w:t>
            </w:r>
          </w:p>
        </w:tc>
      </w:tr>
      <w:tr w:rsidR="00820A4D" w:rsidRPr="00342F15" w14:paraId="2D3FE622" w14:textId="77777777" w:rsidTr="26231F75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EBB1" w14:textId="3D6AC623" w:rsidR="00820A4D" w:rsidRDefault="00465EDA">
            <w:pPr>
              <w:tabs>
                <w:tab w:val="left" w:pos="567"/>
              </w:tabs>
              <w:suppressAutoHyphens/>
              <w:spacing w:line="240" w:lineRule="auto"/>
              <w:outlineLvl w:val="0"/>
              <w:rPr>
                <w:lang w:eastAsia="en-US"/>
              </w:rPr>
            </w:pPr>
            <w:r>
              <w:rPr>
                <w:lang w:val="en-US" w:eastAsia="en-US"/>
              </w:rPr>
              <w:t>Limitation of liability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CCDA" w14:textId="77777777" w:rsidR="00820A4D" w:rsidRDefault="00820A4D">
            <w:pPr>
              <w:suppressAutoHyphens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15.2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A215" w14:textId="2C6CA311" w:rsidR="00820A4D" w:rsidRPr="00465EDA" w:rsidRDefault="00465EDA" w:rsidP="00C6020F">
            <w:pPr>
              <w:suppressAutoHyphens/>
              <w:spacing w:line="240" w:lineRule="auto"/>
              <w:rPr>
                <w:lang w:val="en-US"/>
              </w:rPr>
            </w:pPr>
            <w:r w:rsidRPr="00236EE7">
              <w:rPr>
                <w:lang w:val="en-US"/>
              </w:rPr>
              <w:t xml:space="preserve">2 times the total Contract Price – </w:t>
            </w:r>
            <w:r w:rsidRPr="00B7644B">
              <w:rPr>
                <w:rFonts w:cstheme="minorHAnsi"/>
                <w:lang w:val="en-US"/>
              </w:rPr>
              <w:t>either as an agreed fixed price or an estimated payment based on the expected number of hours spent</w:t>
            </w:r>
          </w:p>
        </w:tc>
      </w:tr>
      <w:tr w:rsidR="00820A4D" w14:paraId="4D224F07" w14:textId="77777777" w:rsidTr="26231F75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6C6A" w14:textId="4A204FBE" w:rsidR="00820A4D" w:rsidRDefault="00465EDA">
            <w:pPr>
              <w:tabs>
                <w:tab w:val="left" w:pos="567"/>
              </w:tabs>
              <w:suppressAutoHyphens/>
              <w:spacing w:line="240" w:lineRule="auto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Insurance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CB9D" w14:textId="77777777" w:rsidR="00820A4D" w:rsidRDefault="00820A4D">
            <w:pPr>
              <w:suppressAutoHyphens/>
              <w:spacing w:line="240" w:lineRule="auto"/>
              <w:rPr>
                <w:lang w:eastAsia="en-US"/>
              </w:rPr>
            </w:pP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2D37" w14:textId="77777777" w:rsidR="00820A4D" w:rsidRDefault="00820A4D">
            <w:pPr>
              <w:suppressAutoHyphens/>
              <w:spacing w:line="240" w:lineRule="auto"/>
              <w:jc w:val="both"/>
            </w:pPr>
          </w:p>
        </w:tc>
      </w:tr>
      <w:tr w:rsidR="00820A4D" w14:paraId="05ACC09E" w14:textId="77777777" w:rsidTr="26231F75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944A" w14:textId="624A9AE8" w:rsidR="00820A4D" w:rsidRDefault="00465EDA">
            <w:pPr>
              <w:tabs>
                <w:tab w:val="left" w:pos="567"/>
              </w:tabs>
              <w:suppressAutoHyphens/>
              <w:spacing w:line="240" w:lineRule="auto"/>
              <w:outlineLvl w:val="0"/>
              <w:rPr>
                <w:lang w:eastAsia="en-US"/>
              </w:rPr>
            </w:pPr>
            <w:r>
              <w:rPr>
                <w:lang w:val="en-US" w:eastAsia="en-US"/>
              </w:rPr>
              <w:t>The Supplier’s Insurance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9F11" w14:textId="77777777" w:rsidR="00820A4D" w:rsidRDefault="00820A4D">
            <w:pPr>
              <w:suppressAutoHyphens/>
              <w:spacing w:line="276" w:lineRule="auto"/>
              <w:rPr>
                <w:rFonts w:cs="Calibri Light"/>
                <w:lang w:eastAsia="en-US"/>
              </w:rPr>
            </w:pPr>
            <w:r>
              <w:rPr>
                <w:rFonts w:cs="Calibri Light"/>
                <w:lang w:eastAsia="en-US"/>
              </w:rPr>
              <w:t>16.1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244C" w14:textId="3D2632FE" w:rsidR="00DD70A7" w:rsidRDefault="00DD70A7" w:rsidP="00DD70A7">
            <w:pPr>
              <w:pStyle w:val="Heading2"/>
              <w:numPr>
                <w:ilvl w:val="0"/>
                <w:numId w:val="7"/>
              </w:numPr>
              <w:tabs>
                <w:tab w:val="clear" w:pos="709"/>
                <w:tab w:val="num" w:pos="360"/>
                <w:tab w:val="left" w:pos="485"/>
              </w:tabs>
              <w:ind w:left="769" w:hanging="432"/>
              <w:jc w:val="both"/>
              <w:outlineLvl w:val="1"/>
              <w:rPr>
                <w:lang w:val="en-US"/>
              </w:rPr>
            </w:pPr>
            <w:r w:rsidRPr="26231F75">
              <w:rPr>
                <w:rFonts w:cstheme="minorBidi"/>
                <w:lang w:val="en-US"/>
              </w:rPr>
              <w:t xml:space="preserve">a professional liability insurance and </w:t>
            </w:r>
          </w:p>
          <w:p w14:paraId="7ABB7CB9" w14:textId="26D76F43" w:rsidR="00820A4D" w:rsidRPr="00DD70A7" w:rsidRDefault="00DD70A7" w:rsidP="00DD70A7">
            <w:pPr>
              <w:pStyle w:val="Heading2"/>
              <w:numPr>
                <w:ilvl w:val="0"/>
                <w:numId w:val="7"/>
              </w:numPr>
              <w:tabs>
                <w:tab w:val="clear" w:pos="709"/>
                <w:tab w:val="num" w:pos="360"/>
                <w:tab w:val="left" w:pos="485"/>
              </w:tabs>
              <w:ind w:left="769" w:hanging="432"/>
              <w:jc w:val="both"/>
              <w:outlineLvl w:val="1"/>
              <w:rPr>
                <w:lang w:val="en-US"/>
              </w:rPr>
            </w:pPr>
            <w:r w:rsidRPr="00DD70A7">
              <w:rPr>
                <w:rFonts w:cstheme="minorHAnsi"/>
                <w:lang w:val="en-US"/>
              </w:rPr>
              <w:t>a general liability insurance</w:t>
            </w:r>
          </w:p>
        </w:tc>
      </w:tr>
      <w:tr w:rsidR="000E68CD" w:rsidRPr="00DD70A7" w14:paraId="051EBC45" w14:textId="77777777" w:rsidTr="26231F75"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4375" w14:textId="25F85825" w:rsidR="000E68CD" w:rsidRPr="000E68CD" w:rsidRDefault="000E68CD" w:rsidP="00DD70A7">
            <w:pPr>
              <w:suppressAutoHyphens/>
              <w:spacing w:line="240" w:lineRule="auto"/>
              <w:jc w:val="both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Options</w:t>
            </w:r>
          </w:p>
        </w:tc>
      </w:tr>
      <w:tr w:rsidR="00DD70A7" w:rsidRPr="00820A4D" w14:paraId="4013E260" w14:textId="77777777" w:rsidTr="26231F7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D852" w14:textId="1ADCF34E" w:rsidR="00DD70A7" w:rsidRPr="00DD70A7" w:rsidRDefault="00DD70A7" w:rsidP="00DD70A7">
            <w:pPr>
              <w:tabs>
                <w:tab w:val="left" w:pos="567"/>
              </w:tabs>
              <w:suppressAutoHyphens/>
              <w:spacing w:line="240" w:lineRule="auto"/>
              <w:outlineLvl w:val="0"/>
              <w:rPr>
                <w:lang w:val="en-US" w:eastAsia="en-US"/>
              </w:rPr>
            </w:pPr>
            <w:r>
              <w:rPr>
                <w:lang w:val="en-US" w:eastAsia="en-US"/>
              </w:rPr>
              <w:t>Deadline for use of option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79FC" w14:textId="2A6A9AC7" w:rsidR="00DD70A7" w:rsidRPr="00DD70A7" w:rsidRDefault="00DD70A7" w:rsidP="00DD70A7">
            <w:pPr>
              <w:suppressAutoHyphens/>
              <w:spacing w:line="240" w:lineRule="auto"/>
              <w:rPr>
                <w:lang w:val="en-US"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9B3A" w14:textId="3F611EB2" w:rsidR="00DD70A7" w:rsidRDefault="00DD70A7" w:rsidP="00DD70A7">
            <w:pPr>
              <w:suppressAutoHyphens/>
              <w:spacing w:line="240" w:lineRule="auto"/>
              <w:jc w:val="both"/>
            </w:pPr>
            <w:r>
              <w:t>N/A</w:t>
            </w:r>
          </w:p>
        </w:tc>
      </w:tr>
      <w:tr w:rsidR="00DD70A7" w14:paraId="1C376776" w14:textId="77777777" w:rsidTr="26231F75">
        <w:trPr>
          <w:trHeight w:val="275"/>
        </w:trPr>
        <w:tc>
          <w:tcPr>
            <w:tcW w:w="9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62B4" w14:textId="2DEED71A" w:rsidR="00DD70A7" w:rsidRDefault="00DD70A7" w:rsidP="00DD70A7">
            <w:pPr>
              <w:suppressAutoHyphens/>
              <w:spacing w:line="240" w:lineRule="auto"/>
              <w:jc w:val="both"/>
            </w:pPr>
            <w:r w:rsidRPr="005C6066">
              <w:rPr>
                <w:b/>
                <w:bCs/>
                <w:lang w:val="en-US"/>
              </w:rPr>
              <w:t>Termination</w:t>
            </w:r>
            <w:r>
              <w:rPr>
                <w:b/>
                <w:bCs/>
                <w:lang w:val="en-US"/>
              </w:rPr>
              <w:t xml:space="preserve"> for work orders</w:t>
            </w:r>
          </w:p>
        </w:tc>
      </w:tr>
      <w:tr w:rsidR="00DD70A7" w14:paraId="45067174" w14:textId="77777777" w:rsidTr="26231F75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88EC11" w14:textId="5CE9E300" w:rsidR="00DD70A7" w:rsidRPr="00DD70A7" w:rsidRDefault="00DD70A7" w:rsidP="000046EE">
            <w:pPr>
              <w:suppressAutoHyphens/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The Customer’s entitlement to termination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D5059D" w14:textId="5A41E5C1" w:rsidR="00DD70A7" w:rsidRDefault="00DD70A7" w:rsidP="00DD70A7">
            <w:pPr>
              <w:suppressAutoHyphens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21.4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455623" w14:textId="56EF9A2E" w:rsidR="00DD70A7" w:rsidRDefault="00DD70A7" w:rsidP="00DD70A7">
            <w:pPr>
              <w:pStyle w:val="Heading2"/>
              <w:keepNext w:val="0"/>
              <w:numPr>
                <w:ilvl w:val="0"/>
                <w:numId w:val="0"/>
              </w:numPr>
              <w:spacing w:line="288" w:lineRule="auto"/>
              <w:ind w:left="578" w:hanging="578"/>
              <w:outlineLvl w:val="1"/>
              <w:rPr>
                <w:lang w:eastAsia="en-US"/>
              </w:rPr>
            </w:pPr>
            <w:r>
              <w:t xml:space="preserve">1 </w:t>
            </w:r>
            <w:r w:rsidRPr="0099297A">
              <w:rPr>
                <w:lang w:val="en-US"/>
              </w:rPr>
              <w:t>months written notice</w:t>
            </w:r>
          </w:p>
        </w:tc>
      </w:tr>
      <w:tr w:rsidR="00DD70A7" w14:paraId="423AC081" w14:textId="77777777" w:rsidTr="26231F75"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48FB" w14:textId="58AC0736" w:rsidR="00DD70A7" w:rsidRPr="00DD70A7" w:rsidRDefault="00DD70A7" w:rsidP="000046EE">
            <w:pPr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The Supplier’s entitlement to termination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96DB" w14:textId="0F43B3F5" w:rsidR="00DD70A7" w:rsidRDefault="00DD70A7" w:rsidP="00DD70A7">
            <w:pPr>
              <w:suppressAutoHyphens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21.4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28F3" w14:textId="76137F4F" w:rsidR="00DD70A7" w:rsidRDefault="00DD70A7" w:rsidP="00DD70A7">
            <w:pPr>
              <w:pStyle w:val="Heading2"/>
              <w:keepNext w:val="0"/>
              <w:numPr>
                <w:ilvl w:val="0"/>
                <w:numId w:val="0"/>
              </w:numPr>
              <w:spacing w:line="288" w:lineRule="auto"/>
              <w:ind w:left="578" w:hanging="578"/>
              <w:outlineLvl w:val="1"/>
            </w:pPr>
            <w:r>
              <w:t>None</w:t>
            </w:r>
          </w:p>
        </w:tc>
      </w:tr>
    </w:tbl>
    <w:p w14:paraId="62F7E09D" w14:textId="5D99B9E5" w:rsidR="00820A4D" w:rsidRDefault="00DD70A7" w:rsidP="00820A4D">
      <w:pPr>
        <w:pStyle w:val="Heading1"/>
        <w:keepNext w:val="0"/>
        <w:spacing w:before="240"/>
        <w:jc w:val="both"/>
      </w:pPr>
      <w:proofErr w:type="spellStart"/>
      <w:r>
        <w:t>Conflict</w:t>
      </w:r>
      <w:proofErr w:type="spellEnd"/>
      <w:r>
        <w:t xml:space="preserve"> of </w:t>
      </w:r>
      <w:proofErr w:type="spellStart"/>
      <w:r>
        <w:t>interest</w:t>
      </w:r>
      <w:proofErr w:type="spellEnd"/>
    </w:p>
    <w:p w14:paraId="3EF137A1" w14:textId="082ADA76" w:rsidR="00DD70A7" w:rsidRPr="002029C0" w:rsidRDefault="00DD70A7" w:rsidP="00DD70A7">
      <w:pPr>
        <w:pStyle w:val="Heading2"/>
        <w:spacing w:after="120"/>
        <w:ind w:left="578" w:hanging="578"/>
        <w:rPr>
          <w:lang w:val="en-US"/>
        </w:rPr>
      </w:pPr>
      <w:r>
        <w:rPr>
          <w:lang w:val="en-US"/>
        </w:rPr>
        <w:t>The Supplier</w:t>
      </w:r>
      <w:r w:rsidRPr="002029C0">
        <w:rPr>
          <w:lang w:val="en-US"/>
        </w:rPr>
        <w:t xml:space="preserve"> declares that before the </w:t>
      </w:r>
      <w:r w:rsidRPr="000E3209">
        <w:rPr>
          <w:lang w:val="en-US"/>
        </w:rPr>
        <w:t xml:space="preserve">start of the agreed Services, the named employees stated in Clause </w:t>
      </w:r>
      <w:r>
        <w:rPr>
          <w:lang w:val="en-US"/>
        </w:rPr>
        <w:t>3</w:t>
      </w:r>
      <w:r w:rsidRPr="000E3209">
        <w:rPr>
          <w:lang w:val="en-US"/>
        </w:rPr>
        <w:t xml:space="preserve">, Sub-Clause 6.1 have familiarized themselves with Appendix </w:t>
      </w:r>
      <w:r>
        <w:rPr>
          <w:lang w:val="en-US"/>
        </w:rPr>
        <w:t>1</w:t>
      </w:r>
      <w:r w:rsidRPr="000E3209">
        <w:rPr>
          <w:lang w:val="en-US"/>
        </w:rPr>
        <w:t xml:space="preserve">, Clause 7 concerning </w:t>
      </w:r>
      <w:r>
        <w:rPr>
          <w:lang w:val="en-US"/>
        </w:rPr>
        <w:t>C</w:t>
      </w:r>
      <w:r w:rsidRPr="000E3209">
        <w:rPr>
          <w:lang w:val="en-US"/>
        </w:rPr>
        <w:t xml:space="preserve">onflicts of </w:t>
      </w:r>
      <w:r>
        <w:rPr>
          <w:lang w:val="en-US"/>
        </w:rPr>
        <w:t>I</w:t>
      </w:r>
      <w:r w:rsidRPr="000E3209">
        <w:rPr>
          <w:lang w:val="en-US"/>
        </w:rPr>
        <w:t xml:space="preserve">nterest, as well as that </w:t>
      </w:r>
      <w:r>
        <w:rPr>
          <w:lang w:val="en-US"/>
        </w:rPr>
        <w:t>the Supplier</w:t>
      </w:r>
      <w:r w:rsidRPr="000E3209">
        <w:rPr>
          <w:lang w:val="en-US"/>
        </w:rPr>
        <w:t xml:space="preserve"> declares the named employees</w:t>
      </w:r>
      <w:r w:rsidRPr="002029C0">
        <w:rPr>
          <w:lang w:val="en-US"/>
        </w:rPr>
        <w:t xml:space="preserve"> understand and accept that they are subject to a responsibility to ensure, that they do not find themselves in a situation where there is a risk of conflict of interest.</w:t>
      </w:r>
    </w:p>
    <w:p w14:paraId="46EFF494" w14:textId="77777777" w:rsidR="00DD70A7" w:rsidRPr="00764581" w:rsidRDefault="00DD70A7" w:rsidP="00DD70A7">
      <w:pPr>
        <w:pStyle w:val="Heading2"/>
        <w:rPr>
          <w:lang w:val="en-US"/>
        </w:rPr>
      </w:pPr>
      <w:r w:rsidRPr="002029C0">
        <w:rPr>
          <w:lang w:val="en-US"/>
        </w:rPr>
        <w:t>The Consultant is liable for the named employees’ conflict of interest and must actively ensure continuous follow up with its named employees.</w:t>
      </w:r>
    </w:p>
    <w:p w14:paraId="39D29EFF" w14:textId="143A1C3B" w:rsidR="00820A4D" w:rsidRDefault="00DD70A7" w:rsidP="00820A4D">
      <w:pPr>
        <w:pStyle w:val="Heading1"/>
        <w:keepNext w:val="0"/>
        <w:spacing w:before="240"/>
        <w:jc w:val="both"/>
      </w:pPr>
      <w:proofErr w:type="spellStart"/>
      <w:r>
        <w:t>Validity</w:t>
      </w:r>
      <w:proofErr w:type="spellEnd"/>
      <w:r>
        <w:t xml:space="preserve"> and </w:t>
      </w:r>
      <w:proofErr w:type="spellStart"/>
      <w:r>
        <w:t>termination</w:t>
      </w:r>
      <w:proofErr w:type="spellEnd"/>
    </w:p>
    <w:p w14:paraId="5D4D458C" w14:textId="7240E459" w:rsidR="00DD70A7" w:rsidRDefault="00DD70A7" w:rsidP="00DD70A7">
      <w:pPr>
        <w:pStyle w:val="Heading2"/>
        <w:keepNext w:val="0"/>
        <w:spacing w:after="120"/>
        <w:jc w:val="both"/>
        <w:rPr>
          <w:lang w:val="en-US"/>
        </w:rPr>
      </w:pPr>
      <w:r w:rsidRPr="00A0255E">
        <w:rPr>
          <w:lang w:val="en-US"/>
        </w:rPr>
        <w:t xml:space="preserve">The Agreement shall enter into force </w:t>
      </w:r>
      <w:r>
        <w:rPr>
          <w:lang w:val="en-US"/>
        </w:rPr>
        <w:t xml:space="preserve">by the Parties’ signature. </w:t>
      </w:r>
      <w:r w:rsidRPr="005F2636">
        <w:rPr>
          <w:lang w:val="en-US"/>
        </w:rPr>
        <w:t>Should the Parties not</w:t>
      </w:r>
      <w:r>
        <w:rPr>
          <w:lang w:val="en-US"/>
        </w:rPr>
        <w:t xml:space="preserve"> sign the Agreement on the same date, </w:t>
      </w:r>
      <w:r w:rsidRPr="005F2636">
        <w:rPr>
          <w:lang w:val="en-US"/>
        </w:rPr>
        <w:t xml:space="preserve">the date of the </w:t>
      </w:r>
      <w:r>
        <w:rPr>
          <w:lang w:val="en-US"/>
        </w:rPr>
        <w:t>last signature will trigger the date of when the Agreement is entered into, and then t</w:t>
      </w:r>
      <w:r w:rsidRPr="001F40DA">
        <w:rPr>
          <w:lang w:val="en-US"/>
        </w:rPr>
        <w:t>he Agree</w:t>
      </w:r>
      <w:r>
        <w:rPr>
          <w:lang w:val="en-US"/>
        </w:rPr>
        <w:t>ment</w:t>
      </w:r>
      <w:r w:rsidRPr="001F40DA">
        <w:rPr>
          <w:lang w:val="en-US"/>
        </w:rPr>
        <w:t xml:space="preserve"> </w:t>
      </w:r>
      <w:r>
        <w:rPr>
          <w:lang w:val="en-US"/>
        </w:rPr>
        <w:t xml:space="preserve">will stand </w:t>
      </w:r>
      <w:r w:rsidRPr="001F40DA">
        <w:rPr>
          <w:lang w:val="en-US"/>
        </w:rPr>
        <w:t xml:space="preserve">in lieu of any other agreements between the Parties regarding the services included in this Agreement. </w:t>
      </w:r>
    </w:p>
    <w:p w14:paraId="145D7B66" w14:textId="6CEB1CC8" w:rsidR="00DD70A7" w:rsidRDefault="00DD70A7" w:rsidP="00DD70A7">
      <w:pPr>
        <w:pStyle w:val="Heading2"/>
        <w:keepNext w:val="0"/>
        <w:spacing w:after="120"/>
        <w:jc w:val="both"/>
        <w:rPr>
          <w:lang w:val="en-US"/>
        </w:rPr>
      </w:pPr>
      <w:r w:rsidRPr="00680AB3">
        <w:rPr>
          <w:lang w:val="en-US"/>
        </w:rPr>
        <w:t xml:space="preserve">The Agreement is effective </w:t>
      </w:r>
      <w:r w:rsidR="009013C1" w:rsidRPr="009D5877">
        <w:rPr>
          <w:lang w:val="en-US"/>
        </w:rPr>
        <w:t xml:space="preserve">from signing until </w:t>
      </w:r>
      <w:r w:rsidR="006241BE" w:rsidRPr="009D5877">
        <w:rPr>
          <w:lang w:val="en-US"/>
        </w:rPr>
        <w:t>31. October 2023</w:t>
      </w:r>
      <w:r w:rsidRPr="009D5877">
        <w:rPr>
          <w:lang w:val="en-US"/>
        </w:rPr>
        <w:t>, after</w:t>
      </w:r>
      <w:r>
        <w:rPr>
          <w:lang w:val="en-US"/>
        </w:rPr>
        <w:t xml:space="preserve"> which the Agreement will automatedly terminated,</w:t>
      </w:r>
      <w:r w:rsidRPr="00680AB3">
        <w:rPr>
          <w:lang w:val="en-US"/>
        </w:rPr>
        <w:t xml:space="preserve"> unless it is renewed by </w:t>
      </w:r>
      <w:r>
        <w:rPr>
          <w:lang w:val="en-US"/>
        </w:rPr>
        <w:t>the Customer</w:t>
      </w:r>
      <w:r w:rsidRPr="00680AB3">
        <w:rPr>
          <w:lang w:val="en-US"/>
        </w:rPr>
        <w:t xml:space="preserve"> before this time</w:t>
      </w:r>
      <w:r>
        <w:rPr>
          <w:lang w:val="en-US"/>
        </w:rPr>
        <w:t>, cf. Sub-Clause 5.3.</w:t>
      </w:r>
    </w:p>
    <w:p w14:paraId="30A67DF1" w14:textId="5E3E420D" w:rsidR="00DD70A7" w:rsidRPr="009B447F" w:rsidRDefault="00DD70A7" w:rsidP="00DD70A7">
      <w:pPr>
        <w:pStyle w:val="Heading2"/>
        <w:keepNext w:val="0"/>
        <w:spacing w:after="120"/>
        <w:ind w:left="578" w:hanging="578"/>
        <w:jc w:val="both"/>
        <w:rPr>
          <w:lang w:val="en-US"/>
        </w:rPr>
      </w:pPr>
      <w:r w:rsidRPr="26231F75">
        <w:rPr>
          <w:lang w:val="en-US"/>
        </w:rPr>
        <w:t xml:space="preserve">The Customer can extend the Agreement 2 times for an additional </w:t>
      </w:r>
      <w:r w:rsidR="006241BE" w:rsidRPr="26231F75">
        <w:rPr>
          <w:lang w:val="en-US"/>
        </w:rPr>
        <w:t>6</w:t>
      </w:r>
      <w:r w:rsidRPr="26231F75">
        <w:rPr>
          <w:lang w:val="en-US"/>
        </w:rPr>
        <w:t xml:space="preserve"> months each time.  The Customer is obliged to give written notice of renewal to the Supplier, within 1 month prior to the termination of the Agreement.</w:t>
      </w:r>
    </w:p>
    <w:p w14:paraId="2085CB9E" w14:textId="38549C68" w:rsidR="0034667C" w:rsidRPr="0034667C" w:rsidRDefault="00DD70A7" w:rsidP="0034667C">
      <w:pPr>
        <w:pStyle w:val="Heading2"/>
        <w:keepNext w:val="0"/>
        <w:spacing w:after="360"/>
        <w:ind w:left="578" w:hanging="578"/>
        <w:jc w:val="both"/>
        <w:rPr>
          <w:lang w:val="en-US"/>
        </w:rPr>
      </w:pPr>
      <w:r>
        <w:rPr>
          <w:lang w:val="en-US"/>
        </w:rPr>
        <w:t>At the termination of the Agreement</w:t>
      </w:r>
      <w:r w:rsidRPr="00901A6E">
        <w:rPr>
          <w:lang w:val="en-US"/>
        </w:rPr>
        <w:t xml:space="preserve"> </w:t>
      </w:r>
      <w:r>
        <w:rPr>
          <w:lang w:val="en-US"/>
        </w:rPr>
        <w:t xml:space="preserve">and no later than 3 months after termination, the Supplier is obligated to supply data about the Customer’s spend during the term of the Agreement without any separate payment. </w:t>
      </w:r>
    </w:p>
    <w:p w14:paraId="1425B3E8" w14:textId="1CFD6393" w:rsidR="00FB287C" w:rsidRDefault="00F32883" w:rsidP="00FB287C">
      <w:pPr>
        <w:pStyle w:val="Heading1"/>
        <w:keepNext w:val="0"/>
        <w:spacing w:before="240"/>
        <w:jc w:val="both"/>
      </w:pPr>
      <w:r>
        <w:t xml:space="preserve">Security </w:t>
      </w:r>
      <w:proofErr w:type="spellStart"/>
      <w:r>
        <w:t>Clea</w:t>
      </w:r>
      <w:r w:rsidR="002203B8">
        <w:t>r</w:t>
      </w:r>
      <w:r w:rsidR="00D376BF">
        <w:t>a</w:t>
      </w:r>
      <w:r w:rsidR="002203B8">
        <w:t>nce</w:t>
      </w:r>
      <w:proofErr w:type="spellEnd"/>
      <w:r w:rsidR="002203B8">
        <w:t xml:space="preserve"> </w:t>
      </w:r>
    </w:p>
    <w:p w14:paraId="3FE1CA88" w14:textId="45877CB1" w:rsidR="00FB287C" w:rsidRPr="00342F15" w:rsidRDefault="00FB287C" w:rsidP="00FB287C">
      <w:pPr>
        <w:pStyle w:val="Heading2"/>
        <w:keepNext w:val="0"/>
        <w:spacing w:after="120"/>
        <w:jc w:val="both"/>
        <w:rPr>
          <w:lang w:val="en-US"/>
        </w:rPr>
      </w:pPr>
      <w:r>
        <w:rPr>
          <w:lang w:val="en-US"/>
        </w:rPr>
        <w:t xml:space="preserve">The </w:t>
      </w:r>
      <w:r w:rsidR="00FB21F5">
        <w:rPr>
          <w:lang w:val="en-US"/>
        </w:rPr>
        <w:t xml:space="preserve">validity of the </w:t>
      </w:r>
      <w:r w:rsidR="0067111D">
        <w:rPr>
          <w:lang w:val="en-US"/>
        </w:rPr>
        <w:t xml:space="preserve">Agreement is </w:t>
      </w:r>
      <w:r w:rsidR="00FB21F5">
        <w:rPr>
          <w:lang w:val="en-US"/>
        </w:rPr>
        <w:t xml:space="preserve">dependent of </w:t>
      </w:r>
      <w:r w:rsidR="00CD7A61">
        <w:rPr>
          <w:lang w:val="en-US"/>
        </w:rPr>
        <w:t>security clearance of the test-manager.</w:t>
      </w:r>
    </w:p>
    <w:p w14:paraId="41BB01A3" w14:textId="47E1359A" w:rsidR="00820A4D" w:rsidRDefault="00DD70A7" w:rsidP="00342F15">
      <w:pPr>
        <w:pStyle w:val="Heading1"/>
        <w:keepNext w:val="0"/>
        <w:spacing w:before="240"/>
        <w:jc w:val="both"/>
      </w:pPr>
      <w:proofErr w:type="spellStart"/>
      <w:r>
        <w:t>Signature</w:t>
      </w:r>
      <w:proofErr w:type="spellEnd"/>
    </w:p>
    <w:p w14:paraId="45A553A8" w14:textId="77777777" w:rsidR="00DD70A7" w:rsidRPr="00314072" w:rsidRDefault="00DD70A7" w:rsidP="00DD70A7">
      <w:pPr>
        <w:spacing w:after="480" w:line="240" w:lineRule="auto"/>
        <w:jc w:val="both"/>
        <w:rPr>
          <w:lang w:val="en-US"/>
        </w:rPr>
      </w:pPr>
      <w:r w:rsidRPr="00314072">
        <w:rPr>
          <w:b/>
          <w:lang w:val="en-US"/>
        </w:rPr>
        <w:t xml:space="preserve">AS AGREED by the </w:t>
      </w:r>
      <w:r>
        <w:rPr>
          <w:b/>
          <w:lang w:val="en-US"/>
        </w:rPr>
        <w:t>representatives of the P</w:t>
      </w:r>
      <w:r w:rsidRPr="00314072">
        <w:rPr>
          <w:b/>
          <w:lang w:val="en-US"/>
        </w:rPr>
        <w:t>arties</w:t>
      </w:r>
      <w:r w:rsidRPr="00314072">
        <w:rPr>
          <w:lang w:val="en-US"/>
        </w:rPr>
        <w:t>:</w:t>
      </w:r>
    </w:p>
    <w:p w14:paraId="72871CB5" w14:textId="2F55E9A7" w:rsidR="00DD70A7" w:rsidRPr="002029C0" w:rsidRDefault="00DD70A7" w:rsidP="00DD70A7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>Place</w:t>
      </w:r>
      <w:r w:rsidRPr="002029C0">
        <w:rPr>
          <w:lang w:val="en-US"/>
        </w:rPr>
        <w:t>:</w:t>
      </w:r>
      <w:r w:rsidRPr="002029C0">
        <w:rPr>
          <w:lang w:val="en-US"/>
        </w:rPr>
        <w:tab/>
      </w:r>
      <w:r w:rsidRPr="002029C0">
        <w:rPr>
          <w:lang w:val="en-US"/>
        </w:rPr>
        <w:tab/>
      </w:r>
      <w:r w:rsidRPr="002029C0">
        <w:rPr>
          <w:lang w:val="en-US"/>
        </w:rPr>
        <w:tab/>
      </w:r>
      <w:r w:rsidRPr="002029C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Place</w:t>
      </w:r>
      <w:r w:rsidRPr="002029C0">
        <w:rPr>
          <w:lang w:val="en-US"/>
        </w:rPr>
        <w:t>:</w:t>
      </w:r>
    </w:p>
    <w:p w14:paraId="4465534D" w14:textId="026599E5" w:rsidR="00DD70A7" w:rsidRPr="002029C0" w:rsidRDefault="00DD70A7" w:rsidP="00DD70A7">
      <w:pPr>
        <w:spacing w:line="240" w:lineRule="auto"/>
        <w:jc w:val="both"/>
        <w:rPr>
          <w:lang w:val="en-US"/>
        </w:rPr>
      </w:pPr>
      <w:r w:rsidRPr="002029C0">
        <w:rPr>
          <w:lang w:val="en-US"/>
        </w:rPr>
        <w:t>Dat</w:t>
      </w:r>
      <w:r>
        <w:rPr>
          <w:lang w:val="en-US"/>
        </w:rPr>
        <w:t>e</w:t>
      </w:r>
      <w:r w:rsidRPr="002029C0">
        <w:rPr>
          <w:lang w:val="en-US"/>
        </w:rPr>
        <w:t>:</w:t>
      </w:r>
      <w:r w:rsidRPr="002029C0">
        <w:rPr>
          <w:lang w:val="en-US"/>
        </w:rPr>
        <w:tab/>
      </w:r>
      <w:r w:rsidRPr="002029C0">
        <w:rPr>
          <w:lang w:val="en-US"/>
        </w:rPr>
        <w:tab/>
      </w:r>
      <w:r w:rsidRPr="002029C0">
        <w:rPr>
          <w:lang w:val="en-US"/>
        </w:rPr>
        <w:tab/>
      </w:r>
      <w:r w:rsidRPr="002029C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2029C0">
        <w:rPr>
          <w:lang w:val="en-US"/>
        </w:rPr>
        <w:t>Dat</w:t>
      </w:r>
      <w:r>
        <w:rPr>
          <w:lang w:val="en-US"/>
        </w:rPr>
        <w:t>e</w:t>
      </w:r>
      <w:r w:rsidRPr="002029C0">
        <w:rPr>
          <w:lang w:val="en-US"/>
        </w:rPr>
        <w:t>:</w:t>
      </w:r>
    </w:p>
    <w:p w14:paraId="7E337A64" w14:textId="77777777" w:rsidR="00DD70A7" w:rsidRPr="002029C0" w:rsidRDefault="00DD70A7" w:rsidP="00DD70A7">
      <w:pPr>
        <w:spacing w:line="240" w:lineRule="auto"/>
        <w:jc w:val="both"/>
        <w:rPr>
          <w:lang w:val="en-US"/>
        </w:rPr>
      </w:pPr>
    </w:p>
    <w:p w14:paraId="17EB3D26" w14:textId="77777777" w:rsidR="00DD70A7" w:rsidRPr="002029C0" w:rsidRDefault="00DD70A7" w:rsidP="00DD70A7">
      <w:pPr>
        <w:spacing w:line="240" w:lineRule="auto"/>
        <w:jc w:val="both"/>
        <w:rPr>
          <w:lang w:val="en-US"/>
        </w:rPr>
      </w:pPr>
      <w:r>
        <w:rPr>
          <w:lang w:val="en-US"/>
        </w:rPr>
        <w:t>Signed electronically, see next pages</w:t>
      </w:r>
      <w:r>
        <w:rPr>
          <w:lang w:val="en-US"/>
        </w:rPr>
        <w:tab/>
      </w:r>
      <w:r>
        <w:rPr>
          <w:lang w:val="en-US"/>
        </w:rPr>
        <w:tab/>
        <w:t>Signed electronically, see next pages</w:t>
      </w:r>
    </w:p>
    <w:p w14:paraId="3695A728" w14:textId="77777777" w:rsidR="00DD70A7" w:rsidRPr="002029C0" w:rsidRDefault="00DD70A7" w:rsidP="00DD70A7">
      <w:pPr>
        <w:spacing w:after="120" w:line="240" w:lineRule="auto"/>
        <w:jc w:val="both"/>
        <w:rPr>
          <w:lang w:val="en-US"/>
        </w:rPr>
      </w:pPr>
      <w:r w:rsidRPr="002029C0">
        <w:rPr>
          <w:lang w:val="en-US"/>
        </w:rPr>
        <w:softHyphen/>
      </w:r>
      <w:r w:rsidRPr="002029C0">
        <w:rPr>
          <w:lang w:val="en-US"/>
        </w:rPr>
        <w:softHyphen/>
      </w:r>
      <w:r w:rsidRPr="002029C0">
        <w:rPr>
          <w:lang w:val="en-US"/>
        </w:rPr>
        <w:softHyphen/>
        <w:t>______________________________</w:t>
      </w:r>
      <w:r w:rsidRPr="002029C0">
        <w:rPr>
          <w:lang w:val="en-US"/>
        </w:rPr>
        <w:tab/>
      </w:r>
      <w:r w:rsidRPr="002029C0">
        <w:rPr>
          <w:lang w:val="en-US"/>
        </w:rPr>
        <w:tab/>
        <w:t>______________________________</w:t>
      </w:r>
    </w:p>
    <w:p w14:paraId="263A86E5" w14:textId="4BAAFECA" w:rsidR="00DD70A7" w:rsidRPr="002029C0" w:rsidRDefault="00DD70A7" w:rsidP="00DD70A7">
      <w:pPr>
        <w:spacing w:after="120" w:line="240" w:lineRule="auto"/>
        <w:jc w:val="both"/>
        <w:rPr>
          <w:highlight w:val="lightGray"/>
          <w:lang w:val="en-US"/>
        </w:rPr>
      </w:pPr>
      <w:r w:rsidRPr="26231F75">
        <w:rPr>
          <w:color w:val="8496B0" w:themeColor="text2" w:themeTint="99"/>
          <w:lang w:val="en-US"/>
        </w:rPr>
        <w:t>Nordic RCC (the Customer)</w:t>
      </w:r>
      <w:r w:rsidRPr="00121648">
        <w:rPr>
          <w:lang w:val="en-US"/>
        </w:rPr>
        <w:tab/>
      </w:r>
      <w:r w:rsidRPr="00121648">
        <w:rPr>
          <w:lang w:val="en-US"/>
        </w:rPr>
        <w:tab/>
      </w:r>
      <w:r w:rsidRPr="00121648">
        <w:rPr>
          <w:lang w:val="en-US"/>
        </w:rPr>
        <w:tab/>
      </w:r>
      <w:r w:rsidRPr="26231F75">
        <w:rPr>
          <w:color w:val="8496B0" w:themeColor="text2" w:themeTint="99"/>
          <w:highlight w:val="yellow"/>
          <w:lang w:val="en-US"/>
        </w:rPr>
        <w:t>Company</w:t>
      </w:r>
      <w:r w:rsidRPr="26231F75">
        <w:rPr>
          <w:color w:val="8496B0" w:themeColor="text2" w:themeTint="99"/>
          <w:lang w:val="en-US"/>
        </w:rPr>
        <w:t xml:space="preserve"> (The Supplier)</w:t>
      </w:r>
      <w:r w:rsidRPr="00121648">
        <w:rPr>
          <w:lang w:val="en-US"/>
        </w:rPr>
        <w:tab/>
      </w:r>
    </w:p>
    <w:p w14:paraId="2E55BF1B" w14:textId="1D0C4AA0" w:rsidR="00DD70A7" w:rsidRPr="002029C0" w:rsidRDefault="00DD70A7" w:rsidP="00DD70A7">
      <w:pPr>
        <w:spacing w:after="120" w:line="240" w:lineRule="auto"/>
        <w:jc w:val="both"/>
        <w:rPr>
          <w:highlight w:val="lightGray"/>
          <w:lang w:val="en-US"/>
        </w:rPr>
      </w:pPr>
      <w:r>
        <w:rPr>
          <w:highlight w:val="yellow"/>
          <w:lang w:val="en-US"/>
        </w:rPr>
        <w:t>Name</w:t>
      </w:r>
      <w:r w:rsidRPr="002029C0">
        <w:rPr>
          <w:highlight w:val="yellow"/>
          <w:lang w:val="en-US"/>
        </w:rPr>
        <w:t xml:space="preserve">, </w:t>
      </w:r>
      <w:r>
        <w:rPr>
          <w:highlight w:val="yellow"/>
          <w:lang w:val="en-US"/>
        </w:rPr>
        <w:t>Surname</w:t>
      </w:r>
      <w:r w:rsidRPr="002029C0">
        <w:rPr>
          <w:highlight w:val="yellow"/>
          <w:lang w:val="en-US"/>
        </w:rPr>
        <w:tab/>
      </w:r>
      <w:r w:rsidRPr="002029C0">
        <w:rPr>
          <w:lang w:val="en-US"/>
        </w:rPr>
        <w:tab/>
      </w:r>
      <w:r w:rsidRPr="002029C0">
        <w:rPr>
          <w:lang w:val="en-US"/>
        </w:rPr>
        <w:tab/>
      </w:r>
      <w:r w:rsidRPr="002029C0">
        <w:rPr>
          <w:lang w:val="en-US"/>
        </w:rPr>
        <w:tab/>
      </w:r>
      <w:r>
        <w:rPr>
          <w:lang w:val="en-US"/>
        </w:rPr>
        <w:tab/>
      </w:r>
      <w:r w:rsidRPr="002029C0">
        <w:rPr>
          <w:highlight w:val="yellow"/>
          <w:lang w:val="en-US"/>
        </w:rPr>
        <w:t>Na</w:t>
      </w:r>
      <w:r>
        <w:rPr>
          <w:highlight w:val="yellow"/>
          <w:lang w:val="en-US"/>
        </w:rPr>
        <w:t>me</w:t>
      </w:r>
      <w:r w:rsidRPr="002029C0">
        <w:rPr>
          <w:highlight w:val="yellow"/>
          <w:lang w:val="en-US"/>
        </w:rPr>
        <w:t xml:space="preserve">, </w:t>
      </w:r>
      <w:r>
        <w:rPr>
          <w:highlight w:val="yellow"/>
          <w:lang w:val="en-US"/>
        </w:rPr>
        <w:t>Surname</w:t>
      </w:r>
    </w:p>
    <w:p w14:paraId="3C5674EC" w14:textId="52C728B4" w:rsidR="00820A4D" w:rsidRPr="0034667C" w:rsidRDefault="00DD70A7" w:rsidP="00536C58">
      <w:pPr>
        <w:spacing w:line="240" w:lineRule="auto"/>
        <w:jc w:val="both"/>
        <w:rPr>
          <w:lang w:val="en-US"/>
        </w:rPr>
      </w:pPr>
      <w:r w:rsidRPr="002029C0">
        <w:rPr>
          <w:i/>
          <w:highlight w:val="yellow"/>
          <w:lang w:val="en-US"/>
        </w:rPr>
        <w:t>Ti</w:t>
      </w:r>
      <w:r w:rsidRPr="00536C58">
        <w:rPr>
          <w:i/>
          <w:highlight w:val="yellow"/>
          <w:lang w:val="en-US"/>
        </w:rPr>
        <w:t>tle</w:t>
      </w:r>
      <w:r w:rsidRPr="002029C0">
        <w:rPr>
          <w:i/>
          <w:lang w:val="en-US"/>
        </w:rPr>
        <w:tab/>
      </w:r>
      <w:r w:rsidRPr="002029C0">
        <w:rPr>
          <w:i/>
          <w:lang w:val="en-US"/>
        </w:rPr>
        <w:tab/>
      </w:r>
      <w:r w:rsidRPr="002029C0">
        <w:rPr>
          <w:i/>
          <w:lang w:val="en-US"/>
        </w:rPr>
        <w:tab/>
      </w:r>
      <w:r w:rsidRPr="002029C0"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spellStart"/>
      <w:r w:rsidRPr="002029C0">
        <w:rPr>
          <w:i/>
          <w:highlight w:val="yellow"/>
          <w:lang w:val="en-US"/>
        </w:rPr>
        <w:t>Ti</w:t>
      </w:r>
      <w:r w:rsidRPr="00536C58">
        <w:rPr>
          <w:i/>
          <w:highlight w:val="yellow"/>
          <w:lang w:val="en-US"/>
        </w:rPr>
        <w:t>tle</w:t>
      </w:r>
      <w:proofErr w:type="spellEnd"/>
      <w:r w:rsidR="00BF24F2" w:rsidRPr="0034667C">
        <w:rPr>
          <w:i/>
          <w:lang w:val="en-US"/>
        </w:rPr>
        <w:tab/>
      </w:r>
      <w:r w:rsidR="00FA53C3" w:rsidRPr="0034667C">
        <w:rPr>
          <w:i/>
          <w:lang w:val="en-US"/>
        </w:rPr>
        <w:tab/>
      </w:r>
      <w:r w:rsidR="00FA53C3" w:rsidRPr="0034667C">
        <w:rPr>
          <w:i/>
          <w:lang w:val="en-US"/>
        </w:rPr>
        <w:tab/>
      </w:r>
      <w:r w:rsidR="00FA53C3" w:rsidRPr="0034667C">
        <w:rPr>
          <w:i/>
          <w:lang w:val="en-US"/>
        </w:rPr>
        <w:tab/>
      </w:r>
      <w:r w:rsidR="00FA53C3" w:rsidRPr="0034667C">
        <w:rPr>
          <w:i/>
          <w:lang w:val="en-US"/>
        </w:rPr>
        <w:tab/>
      </w:r>
    </w:p>
    <w:sectPr w:rsidR="00820A4D" w:rsidRPr="0034667C">
      <w:headerReference w:type="default" r:id="rId12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6873" w14:textId="77777777" w:rsidR="00004DA7" w:rsidRDefault="00004DA7" w:rsidP="00820A4D">
      <w:pPr>
        <w:spacing w:line="240" w:lineRule="auto"/>
      </w:pPr>
      <w:r>
        <w:separator/>
      </w:r>
    </w:p>
  </w:endnote>
  <w:endnote w:type="continuationSeparator" w:id="0">
    <w:p w14:paraId="45D865B2" w14:textId="77777777" w:rsidR="00004DA7" w:rsidRDefault="00004DA7" w:rsidP="00820A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920E" w14:textId="77777777" w:rsidR="00004DA7" w:rsidRDefault="00004DA7" w:rsidP="00820A4D">
      <w:pPr>
        <w:spacing w:line="240" w:lineRule="auto"/>
      </w:pPr>
      <w:r>
        <w:separator/>
      </w:r>
    </w:p>
  </w:footnote>
  <w:footnote w:type="continuationSeparator" w:id="0">
    <w:p w14:paraId="4462137D" w14:textId="77777777" w:rsidR="00004DA7" w:rsidRDefault="00004DA7" w:rsidP="00820A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25B1" w14:textId="1932CF6B" w:rsidR="00820A4D" w:rsidRDefault="00820A4D">
    <w:pPr>
      <w:pStyle w:val="Header"/>
    </w:pPr>
    <w:r>
      <w:rPr>
        <w:noProof/>
      </w:rPr>
      <w:drawing>
        <wp:inline distT="0" distB="0" distL="0" distR="0" wp14:anchorId="4D4C0154" wp14:editId="23F13EF4">
          <wp:extent cx="1411605" cy="1411605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756" cy="1411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3280"/>
    <w:multiLevelType w:val="hybridMultilevel"/>
    <w:tmpl w:val="1AD00654"/>
    <w:lvl w:ilvl="0" w:tplc="0406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736" w:hanging="180"/>
      </w:pPr>
    </w:lvl>
    <w:lvl w:ilvl="3" w:tplc="0406000F">
      <w:start w:val="1"/>
      <w:numFmt w:val="decimal"/>
      <w:lvlText w:val="%4."/>
      <w:lvlJc w:val="left"/>
      <w:pPr>
        <w:ind w:left="3456" w:hanging="360"/>
      </w:pPr>
    </w:lvl>
    <w:lvl w:ilvl="4" w:tplc="04060019">
      <w:start w:val="1"/>
      <w:numFmt w:val="lowerLetter"/>
      <w:lvlText w:val="%5."/>
      <w:lvlJc w:val="left"/>
      <w:pPr>
        <w:ind w:left="4176" w:hanging="360"/>
      </w:pPr>
    </w:lvl>
    <w:lvl w:ilvl="5" w:tplc="0406001B">
      <w:start w:val="1"/>
      <w:numFmt w:val="lowerRoman"/>
      <w:lvlText w:val="%6."/>
      <w:lvlJc w:val="right"/>
      <w:pPr>
        <w:ind w:left="4896" w:hanging="180"/>
      </w:pPr>
    </w:lvl>
    <w:lvl w:ilvl="6" w:tplc="0406000F">
      <w:start w:val="1"/>
      <w:numFmt w:val="decimal"/>
      <w:lvlText w:val="%7."/>
      <w:lvlJc w:val="left"/>
      <w:pPr>
        <w:ind w:left="5616" w:hanging="360"/>
      </w:pPr>
    </w:lvl>
    <w:lvl w:ilvl="7" w:tplc="04060019">
      <w:start w:val="1"/>
      <w:numFmt w:val="lowerLetter"/>
      <w:lvlText w:val="%8."/>
      <w:lvlJc w:val="left"/>
      <w:pPr>
        <w:ind w:left="6336" w:hanging="360"/>
      </w:pPr>
    </w:lvl>
    <w:lvl w:ilvl="8" w:tplc="0406001B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241D12AE"/>
    <w:multiLevelType w:val="multilevel"/>
    <w:tmpl w:val="C5782DA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089024C"/>
    <w:multiLevelType w:val="hybridMultilevel"/>
    <w:tmpl w:val="A5CCF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C40CC"/>
    <w:multiLevelType w:val="hybridMultilevel"/>
    <w:tmpl w:val="1478B28C"/>
    <w:lvl w:ilvl="0" w:tplc="9F00300E">
      <w:start w:val="1"/>
      <w:numFmt w:val="lowerRoman"/>
      <w:lvlText w:val="(%1)"/>
      <w:lvlJc w:val="left"/>
      <w:pPr>
        <w:ind w:left="1080" w:hanging="72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F1A8C"/>
    <w:multiLevelType w:val="hybridMultilevel"/>
    <w:tmpl w:val="4B20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4D"/>
    <w:rsid w:val="000046EE"/>
    <w:rsid w:val="00004DA7"/>
    <w:rsid w:val="000A3ABE"/>
    <w:rsid w:val="000C574C"/>
    <w:rsid w:val="000D090A"/>
    <w:rsid w:val="000D30C8"/>
    <w:rsid w:val="000E68CD"/>
    <w:rsid w:val="000F5015"/>
    <w:rsid w:val="00107B95"/>
    <w:rsid w:val="00111B18"/>
    <w:rsid w:val="00121648"/>
    <w:rsid w:val="00176A17"/>
    <w:rsid w:val="00191018"/>
    <w:rsid w:val="001E5D79"/>
    <w:rsid w:val="001E617A"/>
    <w:rsid w:val="002203B8"/>
    <w:rsid w:val="002849EE"/>
    <w:rsid w:val="002B3AD2"/>
    <w:rsid w:val="003003C4"/>
    <w:rsid w:val="00305C22"/>
    <w:rsid w:val="003105B9"/>
    <w:rsid w:val="0033434C"/>
    <w:rsid w:val="00342F15"/>
    <w:rsid w:val="0034667C"/>
    <w:rsid w:val="003A2A86"/>
    <w:rsid w:val="003E073C"/>
    <w:rsid w:val="00453F74"/>
    <w:rsid w:val="00465EDA"/>
    <w:rsid w:val="004A6DF0"/>
    <w:rsid w:val="004C275F"/>
    <w:rsid w:val="004E4C98"/>
    <w:rsid w:val="00502D44"/>
    <w:rsid w:val="00534119"/>
    <w:rsid w:val="00536C58"/>
    <w:rsid w:val="00567A2C"/>
    <w:rsid w:val="005A276B"/>
    <w:rsid w:val="006062C5"/>
    <w:rsid w:val="00615675"/>
    <w:rsid w:val="006241BE"/>
    <w:rsid w:val="00630398"/>
    <w:rsid w:val="006314CA"/>
    <w:rsid w:val="0067111D"/>
    <w:rsid w:val="00682CE4"/>
    <w:rsid w:val="006D5BD6"/>
    <w:rsid w:val="00771F31"/>
    <w:rsid w:val="007A22CD"/>
    <w:rsid w:val="007B44E8"/>
    <w:rsid w:val="00820A4D"/>
    <w:rsid w:val="008901D0"/>
    <w:rsid w:val="009013C1"/>
    <w:rsid w:val="00912697"/>
    <w:rsid w:val="0099297A"/>
    <w:rsid w:val="009B2D7F"/>
    <w:rsid w:val="009D5877"/>
    <w:rsid w:val="009E0FC1"/>
    <w:rsid w:val="009F6E79"/>
    <w:rsid w:val="00A665E0"/>
    <w:rsid w:val="00B04A74"/>
    <w:rsid w:val="00B2416C"/>
    <w:rsid w:val="00B313B4"/>
    <w:rsid w:val="00BF24F2"/>
    <w:rsid w:val="00C508B4"/>
    <w:rsid w:val="00C56761"/>
    <w:rsid w:val="00C6020F"/>
    <w:rsid w:val="00C9770D"/>
    <w:rsid w:val="00CD7A61"/>
    <w:rsid w:val="00CE4484"/>
    <w:rsid w:val="00CF573F"/>
    <w:rsid w:val="00D205F0"/>
    <w:rsid w:val="00D324A8"/>
    <w:rsid w:val="00D376BF"/>
    <w:rsid w:val="00D754EA"/>
    <w:rsid w:val="00D95729"/>
    <w:rsid w:val="00DC035E"/>
    <w:rsid w:val="00DC1D31"/>
    <w:rsid w:val="00DD70A7"/>
    <w:rsid w:val="00E07CC8"/>
    <w:rsid w:val="00E647A5"/>
    <w:rsid w:val="00E76890"/>
    <w:rsid w:val="00E90B6F"/>
    <w:rsid w:val="00F32883"/>
    <w:rsid w:val="00F60DF7"/>
    <w:rsid w:val="00F668F1"/>
    <w:rsid w:val="00FA53C3"/>
    <w:rsid w:val="00FB21F5"/>
    <w:rsid w:val="00FB287C"/>
    <w:rsid w:val="11C60347"/>
    <w:rsid w:val="16C7D787"/>
    <w:rsid w:val="1D0DF87C"/>
    <w:rsid w:val="26231F75"/>
    <w:rsid w:val="29263AD1"/>
    <w:rsid w:val="2CFA0067"/>
    <w:rsid w:val="39A79531"/>
    <w:rsid w:val="4E42E428"/>
    <w:rsid w:val="5032BC3B"/>
    <w:rsid w:val="51902172"/>
    <w:rsid w:val="618D1CDF"/>
    <w:rsid w:val="6DCF0BD4"/>
    <w:rsid w:val="6F6ADC35"/>
    <w:rsid w:val="77514C62"/>
    <w:rsid w:val="78E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38ABB"/>
  <w15:chartTrackingRefBased/>
  <w15:docId w15:val="{8851BDA3-F463-4217-A0AA-E7BD0732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4D"/>
    <w:pPr>
      <w:spacing w:after="0" w:line="288" w:lineRule="auto"/>
    </w:pPr>
    <w:rPr>
      <w:rFonts w:ascii="Calibri Light" w:eastAsia="Times New Roman" w:hAnsi="Calibri Light" w:cs="Times New Roman"/>
      <w:sz w:val="20"/>
      <w:szCs w:val="20"/>
      <w:lang w:val="da-DK" w:eastAsia="da-DK"/>
    </w:rPr>
  </w:style>
  <w:style w:type="paragraph" w:styleId="Heading1">
    <w:name w:val="heading 1"/>
    <w:aliases w:val="Overskrift med punktopstilling,1. Overskrift 1,Over 1,UCI Header 1,Section Title"/>
    <w:basedOn w:val="Normal"/>
    <w:next w:val="Normal"/>
    <w:link w:val="Heading1Char"/>
    <w:qFormat/>
    <w:rsid w:val="00820A4D"/>
    <w:pPr>
      <w:keepNext/>
      <w:numPr>
        <w:numId w:val="1"/>
      </w:numPr>
      <w:tabs>
        <w:tab w:val="left" w:pos="567"/>
      </w:tabs>
      <w:spacing w:line="240" w:lineRule="auto"/>
      <w:outlineLvl w:val="0"/>
    </w:pPr>
    <w:rPr>
      <w:sz w:val="26"/>
    </w:rPr>
  </w:style>
  <w:style w:type="paragraph" w:styleId="Heading2">
    <w:name w:val="heading 2"/>
    <w:aliases w:val="Afsnit med punktopstilling,VC heading2,VCHeading2,VCHeading 2,Apphead 2,2. Overskrift 2,Overskrift 2 Tegn1,Overskrift 2 Tegn Tegn,Afsnit primæroverskrift Tegn,Afsnit primæroverskrift,Overskrift 2 Tegn1 Tegn Tegn"/>
    <w:basedOn w:val="Normal"/>
    <w:next w:val="Normal"/>
    <w:link w:val="Heading2Char"/>
    <w:unhideWhenUsed/>
    <w:qFormat/>
    <w:rsid w:val="00820A4D"/>
    <w:pPr>
      <w:keepNext/>
      <w:numPr>
        <w:ilvl w:val="1"/>
        <w:numId w:val="1"/>
      </w:numPr>
      <w:tabs>
        <w:tab w:val="left" w:pos="709"/>
      </w:tabs>
      <w:spacing w:line="240" w:lineRule="auto"/>
      <w:outlineLvl w:val="1"/>
    </w:pPr>
  </w:style>
  <w:style w:type="paragraph" w:styleId="Heading3">
    <w:name w:val="heading 3"/>
    <w:aliases w:val="Overskrift 3 ASL,Second Level Head"/>
    <w:basedOn w:val="Normal"/>
    <w:next w:val="Normal"/>
    <w:link w:val="Heading3Char"/>
    <w:semiHidden/>
    <w:unhideWhenUsed/>
    <w:qFormat/>
    <w:rsid w:val="00820A4D"/>
    <w:pPr>
      <w:keepNext/>
      <w:numPr>
        <w:ilvl w:val="2"/>
        <w:numId w:val="1"/>
      </w:numPr>
      <w:outlineLvl w:val="2"/>
    </w:pPr>
    <w:rPr>
      <w:rFonts w:ascii="Calibri" w:hAnsi="Calibri"/>
    </w:rPr>
  </w:style>
  <w:style w:type="paragraph" w:styleId="Heading4">
    <w:name w:val="heading 4"/>
    <w:aliases w:val="Overskrift 4  ASL,Overskrift 4 indholdsforteg.,4. Overskrift 4,Third Level Head"/>
    <w:basedOn w:val="Normal"/>
    <w:next w:val="Normal"/>
    <w:link w:val="Heading4Char"/>
    <w:semiHidden/>
    <w:unhideWhenUsed/>
    <w:qFormat/>
    <w:rsid w:val="00820A4D"/>
    <w:pPr>
      <w:keepNext/>
      <w:numPr>
        <w:ilvl w:val="3"/>
        <w:numId w:val="1"/>
      </w:numPr>
      <w:tabs>
        <w:tab w:val="left" w:pos="992"/>
      </w:tabs>
      <w:spacing w:before="100" w:beforeAutospacing="1"/>
      <w:outlineLvl w:val="3"/>
    </w:pPr>
    <w:rPr>
      <w:rFonts w:ascii="Calibri" w:hAnsi="Calibri"/>
    </w:rPr>
  </w:style>
  <w:style w:type="paragraph" w:styleId="Heading5">
    <w:name w:val="heading 5"/>
    <w:aliases w:val="5. Overskrift 5,Fourth Level Head"/>
    <w:basedOn w:val="Normal"/>
    <w:next w:val="Normal"/>
    <w:link w:val="Heading5Char"/>
    <w:semiHidden/>
    <w:unhideWhenUsed/>
    <w:qFormat/>
    <w:rsid w:val="00820A4D"/>
    <w:pPr>
      <w:numPr>
        <w:ilvl w:val="4"/>
        <w:numId w:val="1"/>
      </w:numPr>
      <w:tabs>
        <w:tab w:val="left" w:pos="1276"/>
      </w:tabs>
      <w:spacing w:before="60"/>
      <w:outlineLvl w:val="4"/>
    </w:pPr>
    <w:rPr>
      <w:rFonts w:ascii="Calibri" w:hAnsi="Calibri"/>
    </w:rPr>
  </w:style>
  <w:style w:type="paragraph" w:styleId="Heading6">
    <w:name w:val="heading 6"/>
    <w:aliases w:val="Appendix Title"/>
    <w:basedOn w:val="Normal"/>
    <w:next w:val="Normal"/>
    <w:link w:val="Heading6Char"/>
    <w:semiHidden/>
    <w:unhideWhenUsed/>
    <w:qFormat/>
    <w:rsid w:val="00820A4D"/>
    <w:pPr>
      <w:keepNext/>
      <w:numPr>
        <w:ilvl w:val="5"/>
        <w:numId w:val="1"/>
      </w:numPr>
      <w:spacing w:before="240" w:after="240"/>
      <w:outlineLvl w:val="5"/>
    </w:pPr>
  </w:style>
  <w:style w:type="paragraph" w:styleId="Heading7">
    <w:name w:val="heading 7"/>
    <w:aliases w:val="Appendix 1st Level Head"/>
    <w:basedOn w:val="Normal"/>
    <w:next w:val="Normal"/>
    <w:link w:val="Heading7Char"/>
    <w:semiHidden/>
    <w:unhideWhenUsed/>
    <w:qFormat/>
    <w:rsid w:val="00820A4D"/>
    <w:pPr>
      <w:keepNext/>
      <w:numPr>
        <w:ilvl w:val="6"/>
        <w:numId w:val="1"/>
      </w:numPr>
      <w:spacing w:before="240" w:after="240"/>
      <w:outlineLvl w:val="6"/>
    </w:pPr>
    <w:rPr>
      <w:b/>
    </w:rPr>
  </w:style>
  <w:style w:type="paragraph" w:styleId="Heading8">
    <w:name w:val="heading 8"/>
    <w:aliases w:val="Appendix 2nd Level Head"/>
    <w:basedOn w:val="Normal"/>
    <w:next w:val="Normal"/>
    <w:link w:val="Heading8Char"/>
    <w:semiHidden/>
    <w:unhideWhenUsed/>
    <w:qFormat/>
    <w:rsid w:val="00820A4D"/>
    <w:pPr>
      <w:keepNext/>
      <w:numPr>
        <w:ilvl w:val="7"/>
        <w:numId w:val="1"/>
      </w:numPr>
      <w:spacing w:before="240" w:after="240"/>
      <w:outlineLvl w:val="7"/>
    </w:pPr>
    <w:rPr>
      <w:b/>
    </w:rPr>
  </w:style>
  <w:style w:type="paragraph" w:styleId="Heading9">
    <w:name w:val="heading 9"/>
    <w:aliases w:val="Appendix 3rd Level Head"/>
    <w:basedOn w:val="Normal"/>
    <w:next w:val="Normal"/>
    <w:link w:val="Heading9Char"/>
    <w:semiHidden/>
    <w:unhideWhenUsed/>
    <w:qFormat/>
    <w:rsid w:val="00820A4D"/>
    <w:pPr>
      <w:keepNext/>
      <w:numPr>
        <w:ilvl w:val="8"/>
        <w:numId w:val="1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verskrift med punktopstilling Char,1. Overskrift 1 Char,Over 1 Char,UCI Header 1 Char,Section Title Char"/>
    <w:basedOn w:val="DefaultParagraphFont"/>
    <w:link w:val="Heading1"/>
    <w:rsid w:val="00820A4D"/>
    <w:rPr>
      <w:rFonts w:ascii="Calibri Light" w:eastAsia="Times New Roman" w:hAnsi="Calibri Light" w:cs="Times New Roman"/>
      <w:sz w:val="26"/>
      <w:szCs w:val="20"/>
      <w:lang w:val="da-DK" w:eastAsia="da-DK"/>
    </w:rPr>
  </w:style>
  <w:style w:type="character" w:customStyle="1" w:styleId="Heading2Char">
    <w:name w:val="Heading 2 Char"/>
    <w:aliases w:val="Afsnit med punktopstilling Char,VC heading2 Char,VCHeading2 Char,VCHeading 2 Char,Apphead 2 Char,2. Overskrift 2 Char,Overskrift 2 Tegn1 Char,Overskrift 2 Tegn Tegn Char,Afsnit primæroverskrift Tegn Char,Afsnit primæroverskrift Char"/>
    <w:basedOn w:val="DefaultParagraphFont"/>
    <w:link w:val="Heading2"/>
    <w:rsid w:val="00820A4D"/>
    <w:rPr>
      <w:rFonts w:ascii="Calibri Light" w:eastAsia="Times New Roman" w:hAnsi="Calibri Light" w:cs="Times New Roman"/>
      <w:sz w:val="20"/>
      <w:szCs w:val="20"/>
      <w:lang w:val="da-DK" w:eastAsia="da-DK"/>
    </w:rPr>
  </w:style>
  <w:style w:type="character" w:customStyle="1" w:styleId="Heading3Char">
    <w:name w:val="Heading 3 Char"/>
    <w:aliases w:val="Overskrift 3 ASL Char,Second Level Head Char"/>
    <w:basedOn w:val="DefaultParagraphFont"/>
    <w:link w:val="Heading3"/>
    <w:semiHidden/>
    <w:rsid w:val="00820A4D"/>
    <w:rPr>
      <w:rFonts w:ascii="Calibri" w:eastAsia="Times New Roman" w:hAnsi="Calibri" w:cs="Times New Roman"/>
      <w:sz w:val="20"/>
      <w:szCs w:val="20"/>
      <w:lang w:val="da-DK" w:eastAsia="da-DK"/>
    </w:rPr>
  </w:style>
  <w:style w:type="character" w:customStyle="1" w:styleId="Heading4Char">
    <w:name w:val="Heading 4 Char"/>
    <w:aliases w:val="Overskrift 4  ASL Char,Overskrift 4 indholdsforteg. Char,4. Overskrift 4 Char,Third Level Head Char"/>
    <w:basedOn w:val="DefaultParagraphFont"/>
    <w:link w:val="Heading4"/>
    <w:semiHidden/>
    <w:rsid w:val="00820A4D"/>
    <w:rPr>
      <w:rFonts w:ascii="Calibri" w:eastAsia="Times New Roman" w:hAnsi="Calibri" w:cs="Times New Roman"/>
      <w:sz w:val="20"/>
      <w:szCs w:val="20"/>
      <w:lang w:val="da-DK" w:eastAsia="da-DK"/>
    </w:rPr>
  </w:style>
  <w:style w:type="character" w:customStyle="1" w:styleId="Heading5Char">
    <w:name w:val="Heading 5 Char"/>
    <w:aliases w:val="5. Overskrift 5 Char,Fourth Level Head Char"/>
    <w:basedOn w:val="DefaultParagraphFont"/>
    <w:link w:val="Heading5"/>
    <w:semiHidden/>
    <w:rsid w:val="00820A4D"/>
    <w:rPr>
      <w:rFonts w:ascii="Calibri" w:eastAsia="Times New Roman" w:hAnsi="Calibri" w:cs="Times New Roman"/>
      <w:sz w:val="20"/>
      <w:szCs w:val="20"/>
      <w:lang w:val="da-DK" w:eastAsia="da-DK"/>
    </w:rPr>
  </w:style>
  <w:style w:type="character" w:customStyle="1" w:styleId="Heading6Char">
    <w:name w:val="Heading 6 Char"/>
    <w:aliases w:val="Appendix Title Char"/>
    <w:basedOn w:val="DefaultParagraphFont"/>
    <w:link w:val="Heading6"/>
    <w:semiHidden/>
    <w:rsid w:val="00820A4D"/>
    <w:rPr>
      <w:rFonts w:ascii="Calibri Light" w:eastAsia="Times New Roman" w:hAnsi="Calibri Light" w:cs="Times New Roman"/>
      <w:sz w:val="20"/>
      <w:szCs w:val="20"/>
      <w:lang w:val="da-DK" w:eastAsia="da-DK"/>
    </w:rPr>
  </w:style>
  <w:style w:type="character" w:customStyle="1" w:styleId="Heading7Char">
    <w:name w:val="Heading 7 Char"/>
    <w:aliases w:val="Appendix 1st Level Head Char"/>
    <w:basedOn w:val="DefaultParagraphFont"/>
    <w:link w:val="Heading7"/>
    <w:semiHidden/>
    <w:rsid w:val="00820A4D"/>
    <w:rPr>
      <w:rFonts w:ascii="Calibri Light" w:eastAsia="Times New Roman" w:hAnsi="Calibri Light" w:cs="Times New Roman"/>
      <w:b/>
      <w:sz w:val="20"/>
      <w:szCs w:val="20"/>
      <w:lang w:val="da-DK" w:eastAsia="da-DK"/>
    </w:rPr>
  </w:style>
  <w:style w:type="character" w:customStyle="1" w:styleId="Heading8Char">
    <w:name w:val="Heading 8 Char"/>
    <w:aliases w:val="Appendix 2nd Level Head Char"/>
    <w:basedOn w:val="DefaultParagraphFont"/>
    <w:link w:val="Heading8"/>
    <w:semiHidden/>
    <w:rsid w:val="00820A4D"/>
    <w:rPr>
      <w:rFonts w:ascii="Calibri Light" w:eastAsia="Times New Roman" w:hAnsi="Calibri Light" w:cs="Times New Roman"/>
      <w:b/>
      <w:sz w:val="20"/>
      <w:szCs w:val="20"/>
      <w:lang w:val="da-DK" w:eastAsia="da-DK"/>
    </w:rPr>
  </w:style>
  <w:style w:type="character" w:customStyle="1" w:styleId="Heading9Char">
    <w:name w:val="Heading 9 Char"/>
    <w:aliases w:val="Appendix 3rd Level Head Char"/>
    <w:basedOn w:val="DefaultParagraphFont"/>
    <w:link w:val="Heading9"/>
    <w:semiHidden/>
    <w:rsid w:val="00820A4D"/>
    <w:rPr>
      <w:rFonts w:ascii="Calibri Light" w:eastAsia="Times New Roman" w:hAnsi="Calibri Light" w:cs="Times New Roman"/>
      <w:b/>
      <w:sz w:val="20"/>
      <w:szCs w:val="20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820A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A4D"/>
    <w:pPr>
      <w:ind w:left="720"/>
      <w:contextualSpacing/>
    </w:pPr>
  </w:style>
  <w:style w:type="paragraph" w:customStyle="1" w:styleId="Modtager">
    <w:name w:val="Modtager"/>
    <w:basedOn w:val="Normal"/>
    <w:rsid w:val="00820A4D"/>
    <w:rPr>
      <w:color w:val="008B8B"/>
      <w:sz w:val="22"/>
    </w:rPr>
  </w:style>
  <w:style w:type="paragraph" w:customStyle="1" w:styleId="Overskrift0">
    <w:name w:val="Overskrift 0"/>
    <w:basedOn w:val="Normal"/>
    <w:next w:val="Normal"/>
    <w:qFormat/>
    <w:rsid w:val="00820A4D"/>
    <w:rPr>
      <w:b/>
      <w:caps/>
      <w:color w:val="13515D"/>
      <w:sz w:val="26"/>
    </w:rPr>
  </w:style>
  <w:style w:type="paragraph" w:customStyle="1" w:styleId="Adresse">
    <w:name w:val="Adresse"/>
    <w:basedOn w:val="Normal"/>
    <w:qFormat/>
    <w:rsid w:val="00820A4D"/>
    <w:rPr>
      <w:color w:val="008B8B"/>
      <w:sz w:val="18"/>
    </w:rPr>
  </w:style>
  <w:style w:type="paragraph" w:customStyle="1" w:styleId="paragraph">
    <w:name w:val="paragraph"/>
    <w:basedOn w:val="Normal"/>
    <w:rsid w:val="00820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820A4D"/>
  </w:style>
  <w:style w:type="character" w:customStyle="1" w:styleId="eop">
    <w:name w:val="eop"/>
    <w:basedOn w:val="DefaultParagraphFont"/>
    <w:rsid w:val="00820A4D"/>
  </w:style>
  <w:style w:type="character" w:customStyle="1" w:styleId="spellingerror">
    <w:name w:val="spellingerror"/>
    <w:basedOn w:val="DefaultParagraphFont"/>
    <w:rsid w:val="00820A4D"/>
  </w:style>
  <w:style w:type="table" w:styleId="TableGrid">
    <w:name w:val="Table Grid"/>
    <w:basedOn w:val="TableNormal"/>
    <w:rsid w:val="00820A4D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A4D"/>
    <w:pPr>
      <w:tabs>
        <w:tab w:val="center" w:pos="4986"/>
        <w:tab w:val="right" w:pos="99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A4D"/>
    <w:rPr>
      <w:rFonts w:ascii="Calibri Light" w:eastAsia="Times New Roman" w:hAnsi="Calibri Light" w:cs="Times New Roman"/>
      <w:sz w:val="20"/>
      <w:szCs w:val="20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820A4D"/>
    <w:pPr>
      <w:tabs>
        <w:tab w:val="center" w:pos="4986"/>
        <w:tab w:val="right" w:pos="99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A4D"/>
    <w:rPr>
      <w:rFonts w:ascii="Calibri Light" w:eastAsia="Times New Roman" w:hAnsi="Calibri Light" w:cs="Times New Roman"/>
      <w:sz w:val="20"/>
      <w:szCs w:val="20"/>
      <w:lang w:val="da-DK" w:eastAsia="da-DK"/>
    </w:rPr>
  </w:style>
  <w:style w:type="character" w:customStyle="1" w:styleId="tabchar">
    <w:name w:val="tabchar"/>
    <w:basedOn w:val="DefaultParagraphFont"/>
    <w:rsid w:val="00567A2C"/>
  </w:style>
  <w:style w:type="character" w:styleId="CommentReference">
    <w:name w:val="annotation reference"/>
    <w:basedOn w:val="DefaultParagraphFont"/>
    <w:unhideWhenUsed/>
    <w:rsid w:val="00567A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67A2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67A2C"/>
    <w:rPr>
      <w:rFonts w:ascii="Calibri Light" w:eastAsia="Times New Roman" w:hAnsi="Calibri Light" w:cs="Times New Roman"/>
      <w:sz w:val="20"/>
      <w:szCs w:val="20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A2C"/>
    <w:rPr>
      <w:rFonts w:ascii="Calibri Light" w:eastAsia="Times New Roman" w:hAnsi="Calibri Light" w:cs="Times New Roman"/>
      <w:b/>
      <w:bCs/>
      <w:sz w:val="20"/>
      <w:szCs w:val="20"/>
      <w:lang w:val="da-DK"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FA53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05F0"/>
    <w:pPr>
      <w:spacing w:after="0" w:line="240" w:lineRule="auto"/>
    </w:pPr>
    <w:rPr>
      <w:rFonts w:ascii="Calibri Light" w:eastAsia="Times New Roman" w:hAnsi="Calibri Light" w:cs="Times New Roman"/>
      <w:sz w:val="20"/>
      <w:szCs w:val="20"/>
      <w:lang w:val="da-DK" w:eastAsia="da-DK"/>
    </w:rPr>
  </w:style>
  <w:style w:type="numbering" w:customStyle="1" w:styleId="Ref-liste">
    <w:name w:val="Ref-liste"/>
    <w:rsid w:val="00F668F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counting@nordic-rcc.net" TargetMode="External"/><Relationship Id="rId5" Type="http://schemas.openxmlformats.org/officeDocument/2006/relationships/styles" Target="styles.xml"/><Relationship Id="rId10" Type="http://schemas.openxmlformats.org/officeDocument/2006/relationships/hyperlink" Target="mailto:invoices@nordic-rcc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468A01D570B49A06C26FBA1C697CC" ma:contentTypeVersion="2" ma:contentTypeDescription="Create a new document." ma:contentTypeScope="" ma:versionID="faa6b09e3d89d16aedfe3a5cd7a36856">
  <xsd:schema xmlns:xsd="http://www.w3.org/2001/XMLSchema" xmlns:xs="http://www.w3.org/2001/XMLSchema" xmlns:p="http://schemas.microsoft.com/office/2006/metadata/properties" xmlns:ns2="0ddb0ff5-83e3-402f-bb83-465b9892c67c" targetNamespace="http://schemas.microsoft.com/office/2006/metadata/properties" ma:root="true" ma:fieldsID="c8f6acf69dbe3e1d8663e7acfbb096f5" ns2:_="">
    <xsd:import namespace="0ddb0ff5-83e3-402f-bb83-465b9892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b0ff5-83e3-402f-bb83-465b9892c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2466D-75CA-479D-8AB5-60C7BE904DC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ddb0ff5-83e3-402f-bb83-465b9892c67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96450D-5339-4B81-8FE5-ABC0B83AB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b0ff5-83e3-402f-bb83-465b9892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C19A9-C3F8-4D31-98A7-D6DC3D8C5D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822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Martinne Heckscher</dc:creator>
  <cp:keywords/>
  <dc:description/>
  <cp:lastModifiedBy>Laura Jung</cp:lastModifiedBy>
  <cp:revision>32</cp:revision>
  <dcterms:created xsi:type="dcterms:W3CDTF">2022-07-12T08:17:00Z</dcterms:created>
  <dcterms:modified xsi:type="dcterms:W3CDTF">2022-08-15T06:13:00Z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0x010100FE9468A01D570B49A06C26FBA1C697CC</vt:lpwstr>
  </property>
</Properties>
</file>