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DA52" w14:textId="702ED604" w:rsidR="009A77C0" w:rsidRDefault="00992DF6" w:rsidP="002718EF">
      <w:pPr>
        <w:pStyle w:val="Overskrift1"/>
        <w:rPr>
          <w:lang w:val="en-US"/>
        </w:rPr>
      </w:pPr>
      <w:r>
        <w:rPr>
          <w:lang w:val="en-US"/>
        </w:rPr>
        <w:t xml:space="preserve">Requirements </w:t>
      </w:r>
      <w:r w:rsidR="009A77C0">
        <w:rPr>
          <w:lang w:val="en-US"/>
        </w:rPr>
        <w:t>for a hosting and solution provider</w:t>
      </w:r>
      <w:r w:rsidR="00416E3A">
        <w:rPr>
          <w:lang w:val="en-US"/>
        </w:rPr>
        <w:t xml:space="preserve"> to host the current data and integrations at opendata.dk</w:t>
      </w:r>
    </w:p>
    <w:p w14:paraId="5D898FFA" w14:textId="77777777" w:rsidR="002718EF" w:rsidRDefault="002718EF" w:rsidP="002718EF">
      <w:pPr>
        <w:rPr>
          <w:lang w:val="en-US"/>
        </w:rPr>
      </w:pPr>
    </w:p>
    <w:p w14:paraId="3A0B47D3" w14:textId="37F6AAC1" w:rsidR="676B6297" w:rsidRDefault="676B6297" w:rsidP="1997D6F5">
      <w:pPr>
        <w:rPr>
          <w:lang w:val="en-US"/>
        </w:rPr>
      </w:pPr>
      <w:r w:rsidRPr="1997D6F5">
        <w:rPr>
          <w:lang w:val="en-US"/>
        </w:rPr>
        <w:t xml:space="preserve">The current </w:t>
      </w:r>
      <w:r w:rsidR="7FF64F27" w:rsidRPr="1997D6F5">
        <w:rPr>
          <w:lang w:val="en-US"/>
        </w:rPr>
        <w:t xml:space="preserve">setup of opendata.dk </w:t>
      </w:r>
      <w:r w:rsidRPr="1997D6F5">
        <w:rPr>
          <w:lang w:val="en-US"/>
        </w:rPr>
        <w:t>consists of the</w:t>
      </w:r>
      <w:r w:rsidR="6E9CC6D7" w:rsidRPr="1997D6F5">
        <w:rPr>
          <w:lang w:val="en-US"/>
        </w:rPr>
        <w:t xml:space="preserve"> following</w:t>
      </w:r>
      <w:r w:rsidRPr="1997D6F5">
        <w:rPr>
          <w:lang w:val="en-US"/>
        </w:rPr>
        <w:t xml:space="preserve"> parts:</w:t>
      </w:r>
    </w:p>
    <w:p w14:paraId="396AEF34" w14:textId="1690EAF5" w:rsidR="676B6297" w:rsidRDefault="676B6297" w:rsidP="1997D6F5">
      <w:pPr>
        <w:pStyle w:val="Listeafsnit"/>
        <w:numPr>
          <w:ilvl w:val="0"/>
          <w:numId w:val="2"/>
        </w:numPr>
        <w:rPr>
          <w:lang w:val="en-US"/>
        </w:rPr>
      </w:pPr>
      <w:r w:rsidRPr="1997D6F5">
        <w:rPr>
          <w:lang w:val="en-US"/>
        </w:rPr>
        <w:t xml:space="preserve">A hosted installation of </w:t>
      </w:r>
      <w:r w:rsidR="00973166">
        <w:rPr>
          <w:lang w:val="en-US"/>
        </w:rPr>
        <w:t xml:space="preserve">a </w:t>
      </w:r>
      <w:r w:rsidRPr="1997D6F5">
        <w:rPr>
          <w:lang w:val="en-US"/>
        </w:rPr>
        <w:t>CKAN front-end and database ba</w:t>
      </w:r>
      <w:r w:rsidR="5E4E9696" w:rsidRPr="1997D6F5">
        <w:rPr>
          <w:lang w:val="en-US"/>
        </w:rPr>
        <w:t>ckend</w:t>
      </w:r>
    </w:p>
    <w:p w14:paraId="5964C7A1" w14:textId="0A70A7B6" w:rsidR="5E4E9696" w:rsidRDefault="5E4E9696" w:rsidP="1997D6F5">
      <w:pPr>
        <w:pStyle w:val="Listeafsnit"/>
        <w:numPr>
          <w:ilvl w:val="0"/>
          <w:numId w:val="2"/>
        </w:numPr>
        <w:rPr>
          <w:lang w:val="en-US"/>
        </w:rPr>
      </w:pPr>
      <w:r w:rsidRPr="1997D6F5">
        <w:rPr>
          <w:lang w:val="en-US"/>
        </w:rPr>
        <w:t>A hosted instance of the OpenData DK front-end, which pulls content from a wordpress.com-site</w:t>
      </w:r>
    </w:p>
    <w:p w14:paraId="538B7077" w14:textId="23229226" w:rsidR="2120DE53" w:rsidRDefault="2120DE53" w:rsidP="1997D6F5">
      <w:pPr>
        <w:pStyle w:val="Listeafsnit"/>
        <w:numPr>
          <w:ilvl w:val="0"/>
          <w:numId w:val="2"/>
        </w:numPr>
        <w:rPr>
          <w:lang w:val="en-US"/>
        </w:rPr>
      </w:pPr>
      <w:r w:rsidRPr="1997D6F5">
        <w:rPr>
          <w:lang w:val="en-US"/>
        </w:rPr>
        <w:t>A support function, to manage issues</w:t>
      </w:r>
    </w:p>
    <w:p w14:paraId="3657D285" w14:textId="1B369DF7" w:rsidR="2120DE53" w:rsidRDefault="2120DE53" w:rsidP="1997D6F5">
      <w:pPr>
        <w:pStyle w:val="Listeafsnit"/>
        <w:numPr>
          <w:ilvl w:val="0"/>
          <w:numId w:val="2"/>
        </w:numPr>
        <w:rPr>
          <w:lang w:val="en-US"/>
        </w:rPr>
      </w:pPr>
      <w:r w:rsidRPr="1997D6F5">
        <w:rPr>
          <w:lang w:val="en-US"/>
        </w:rPr>
        <w:t>A business consulting function</w:t>
      </w:r>
      <w:r w:rsidR="05D8B36A" w:rsidRPr="1997D6F5">
        <w:rPr>
          <w:lang w:val="en-US"/>
        </w:rPr>
        <w:t xml:space="preserve"> to assist in specifying, and developing further </w:t>
      </w:r>
      <w:r w:rsidR="00E06CF4" w:rsidRPr="1997D6F5">
        <w:rPr>
          <w:lang w:val="en-US"/>
        </w:rPr>
        <w:t>developments</w:t>
      </w:r>
    </w:p>
    <w:p w14:paraId="5EABA9AF" w14:textId="19C20460" w:rsidR="00F4353D" w:rsidRDefault="00AF7ECB" w:rsidP="002718EF">
      <w:pPr>
        <w:rPr>
          <w:lang w:val="en-US"/>
        </w:rPr>
      </w:pPr>
      <w:r>
        <w:rPr>
          <w:lang w:val="en-US"/>
        </w:rPr>
        <w:t xml:space="preserve">The </w:t>
      </w:r>
      <w:r w:rsidR="001A6540">
        <w:rPr>
          <w:lang w:val="en-US"/>
        </w:rPr>
        <w:t>required</w:t>
      </w:r>
      <w:r>
        <w:rPr>
          <w:lang w:val="en-US"/>
        </w:rPr>
        <w:t xml:space="preserve"> setup should reflect</w:t>
      </w:r>
      <w:r w:rsidR="00217EBF">
        <w:rPr>
          <w:lang w:val="en-US"/>
        </w:rPr>
        <w:t xml:space="preserve"> the current setup</w:t>
      </w:r>
      <w:r w:rsidR="00D22A34">
        <w:rPr>
          <w:lang w:val="en-US"/>
        </w:rPr>
        <w:t>.</w:t>
      </w:r>
      <w:r w:rsidR="00217EBF">
        <w:rPr>
          <w:lang w:val="en-US"/>
        </w:rPr>
        <w:t xml:space="preserve"> </w:t>
      </w:r>
      <w:r w:rsidR="00D22A34">
        <w:rPr>
          <w:lang w:val="en-US"/>
        </w:rPr>
        <w:t>H</w:t>
      </w:r>
      <w:r w:rsidR="00217EBF">
        <w:rPr>
          <w:lang w:val="en-US"/>
        </w:rPr>
        <w:t xml:space="preserve">ow ever </w:t>
      </w:r>
      <w:r w:rsidR="004F1B49">
        <w:rPr>
          <w:lang w:val="en-US"/>
        </w:rPr>
        <w:t xml:space="preserve">individual elements can be </w:t>
      </w:r>
      <w:r w:rsidR="00D56676">
        <w:rPr>
          <w:lang w:val="en-US"/>
        </w:rPr>
        <w:t>combined or separated</w:t>
      </w:r>
      <w:r w:rsidR="007D2549">
        <w:rPr>
          <w:lang w:val="en-US"/>
        </w:rPr>
        <w:t xml:space="preserve"> according to </w:t>
      </w:r>
      <w:r w:rsidR="00406D47">
        <w:rPr>
          <w:lang w:val="en-US"/>
        </w:rPr>
        <w:t xml:space="preserve">the proposed </w:t>
      </w:r>
      <w:r w:rsidR="007D2549">
        <w:rPr>
          <w:lang w:val="en-US"/>
        </w:rPr>
        <w:t xml:space="preserve">solution. </w:t>
      </w:r>
      <w:r w:rsidR="00015151">
        <w:rPr>
          <w:lang w:val="en-US"/>
        </w:rPr>
        <w:t xml:space="preserve">There is no requirement on the specific </w:t>
      </w:r>
      <w:r w:rsidR="00D259C4">
        <w:rPr>
          <w:lang w:val="en-US"/>
        </w:rPr>
        <w:t>tools or platforms used</w:t>
      </w:r>
      <w:r w:rsidR="00CD2631">
        <w:rPr>
          <w:lang w:val="en-US"/>
        </w:rPr>
        <w:t xml:space="preserve">. How ever the response to specific </w:t>
      </w:r>
      <w:r w:rsidR="00C07F42">
        <w:rPr>
          <w:lang w:val="en-US"/>
        </w:rPr>
        <w:t>requirements</w:t>
      </w:r>
      <w:r w:rsidR="00CD2631">
        <w:rPr>
          <w:lang w:val="en-US"/>
        </w:rPr>
        <w:t xml:space="preserve"> should contain</w:t>
      </w:r>
      <w:r w:rsidR="00C07F42">
        <w:rPr>
          <w:lang w:val="en-US"/>
        </w:rPr>
        <w:t xml:space="preserve"> </w:t>
      </w:r>
      <w:r w:rsidR="007C49FF">
        <w:rPr>
          <w:lang w:val="en-US"/>
        </w:rPr>
        <w:t>transfer considerations and the offer should include theses costs.</w:t>
      </w:r>
    </w:p>
    <w:p w14:paraId="5664E272" w14:textId="106E0CAA" w:rsidR="00B64DED" w:rsidRPr="002718EF" w:rsidRDefault="00992DF6" w:rsidP="00992DF6">
      <w:pPr>
        <w:pStyle w:val="Overskrift2"/>
        <w:rPr>
          <w:lang w:val="en-US"/>
        </w:rPr>
      </w:pPr>
      <w:r>
        <w:rPr>
          <w:lang w:val="en-US"/>
        </w:rPr>
        <w:t>Table of requirements</w:t>
      </w:r>
    </w:p>
    <w:p w14:paraId="1D9E296B" w14:textId="423C6377" w:rsidR="000B74E7" w:rsidRDefault="00897E4D" w:rsidP="000B74E7">
      <w:pPr>
        <w:rPr>
          <w:lang w:val="en-US"/>
        </w:rPr>
      </w:pPr>
      <w:r>
        <w:rPr>
          <w:lang w:val="en-US"/>
        </w:rPr>
        <w:t xml:space="preserve">Below is a list of requirements. </w:t>
      </w:r>
      <w:r w:rsidR="00416E3A" w:rsidRPr="00416E3A">
        <w:rPr>
          <w:lang w:val="en-US"/>
        </w:rPr>
        <w:t>The selected supplier must conform to the following demands according to the rating:</w:t>
      </w:r>
      <w:r w:rsidR="008F46F1">
        <w:rPr>
          <w:lang w:val="en-US"/>
        </w:rPr>
        <w:t xml:space="preserve"> </w:t>
      </w:r>
      <w:r w:rsidR="000B74E7">
        <w:rPr>
          <w:lang w:val="en-US"/>
        </w:rPr>
        <w:t>[</w:t>
      </w:r>
      <w:r w:rsidR="000B74E7" w:rsidRPr="009A77C0">
        <w:rPr>
          <w:lang w:val="en-US"/>
        </w:rPr>
        <w:t>Must</w:t>
      </w:r>
      <w:r w:rsidR="000B74E7">
        <w:rPr>
          <w:lang w:val="en-US"/>
        </w:rPr>
        <w:t xml:space="preserve">, </w:t>
      </w:r>
      <w:r w:rsidR="000B74E7" w:rsidRPr="009A77C0">
        <w:rPr>
          <w:lang w:val="en-US"/>
        </w:rPr>
        <w:t>Should</w:t>
      </w:r>
      <w:r w:rsidR="000B74E7">
        <w:rPr>
          <w:lang w:val="en-US"/>
        </w:rPr>
        <w:t xml:space="preserve">, </w:t>
      </w:r>
      <w:r w:rsidR="000B74E7" w:rsidRPr="009A77C0">
        <w:rPr>
          <w:lang w:val="en-US"/>
        </w:rPr>
        <w:t>Could</w:t>
      </w:r>
      <w:r w:rsidR="000B74E7">
        <w:rPr>
          <w:lang w:val="en-US"/>
        </w:rPr>
        <w:t xml:space="preserve">, </w:t>
      </w:r>
      <w:r w:rsidR="000B74E7" w:rsidRPr="000D0D2A">
        <w:rPr>
          <w:lang w:val="en-US"/>
        </w:rPr>
        <w:t>Would]</w:t>
      </w:r>
    </w:p>
    <w:p w14:paraId="74C60D1D" w14:textId="1962E721" w:rsidR="002823BE" w:rsidRDefault="008F46F1" w:rsidP="000B74E7">
      <w:pPr>
        <w:rPr>
          <w:lang w:val="en-US"/>
        </w:rPr>
      </w:pPr>
      <w:r>
        <w:rPr>
          <w:lang w:val="en-US"/>
        </w:rPr>
        <w:t xml:space="preserve">Each requirement should be answered with </w:t>
      </w:r>
      <w:r w:rsidR="006532DA">
        <w:rPr>
          <w:lang w:val="en-US"/>
        </w:rPr>
        <w:t>how your solution conforms to the requirement</w:t>
      </w:r>
      <w:r w:rsidR="00D5158B">
        <w:rPr>
          <w:lang w:val="en-US"/>
        </w:rPr>
        <w:t>.</w:t>
      </w:r>
      <w:r w:rsidR="006532DA">
        <w:rPr>
          <w:lang w:val="en-US"/>
        </w:rPr>
        <w:t xml:space="preserve"> </w:t>
      </w:r>
      <w:r w:rsidR="00D5158B">
        <w:rPr>
          <w:lang w:val="en-US"/>
        </w:rPr>
        <w:t>Use</w:t>
      </w:r>
      <w:r w:rsidR="006532DA">
        <w:rPr>
          <w:lang w:val="en-US"/>
        </w:rPr>
        <w:t xml:space="preserve"> the scale</w:t>
      </w:r>
      <w:r w:rsidR="008740C0">
        <w:rPr>
          <w:lang w:val="en-US"/>
        </w:rPr>
        <w:t xml:space="preserve">  [1-Fully; 2-Mostly; </w:t>
      </w:r>
      <w:r w:rsidR="000E5D56">
        <w:rPr>
          <w:lang w:val="en-US"/>
        </w:rPr>
        <w:t>3-Some; 4-None]</w:t>
      </w:r>
      <w:r>
        <w:rPr>
          <w:lang w:val="en-US"/>
        </w:rPr>
        <w:t xml:space="preserve">. You are welcome to </w:t>
      </w:r>
      <w:r w:rsidR="004164A5">
        <w:rPr>
          <w:lang w:val="en-US"/>
        </w:rPr>
        <w:t xml:space="preserve">describe how you propose to </w:t>
      </w:r>
      <w:r w:rsidR="008E0408">
        <w:rPr>
          <w:lang w:val="en-US"/>
        </w:rPr>
        <w:t xml:space="preserve">meet the </w:t>
      </w:r>
      <w:r w:rsidR="004164A5">
        <w:rPr>
          <w:lang w:val="en-US"/>
        </w:rPr>
        <w:t xml:space="preserve">requirements </w:t>
      </w:r>
      <w:r>
        <w:rPr>
          <w:lang w:val="en-US"/>
        </w:rPr>
        <w:t xml:space="preserve">in a </w:t>
      </w:r>
      <w:r w:rsidR="008E0408">
        <w:rPr>
          <w:lang w:val="en-US"/>
        </w:rPr>
        <w:t>separate</w:t>
      </w:r>
      <w:r>
        <w:rPr>
          <w:lang w:val="en-US"/>
        </w:rPr>
        <w:t xml:space="preserve"> document. </w:t>
      </w:r>
      <w:r w:rsidR="00F27A36">
        <w:rPr>
          <w:lang w:val="en-US"/>
        </w:rPr>
        <w:t xml:space="preserve">Please reference the </w:t>
      </w:r>
      <w:r w:rsidR="004B509F">
        <w:rPr>
          <w:lang w:val="en-US"/>
        </w:rPr>
        <w:t xml:space="preserve">requirement numbers clearly. </w:t>
      </w:r>
      <w:r>
        <w:rPr>
          <w:lang w:val="en-US"/>
        </w:rPr>
        <w:t>The total length of the document must not be more than 2 pages.</w:t>
      </w:r>
    </w:p>
    <w:p w14:paraId="7AF902B5" w14:textId="0CD81AD5" w:rsidR="0063078B" w:rsidRDefault="0063078B" w:rsidP="000B74E7">
      <w:pPr>
        <w:rPr>
          <w:lang w:val="en-US"/>
        </w:rPr>
      </w:pPr>
      <w:r>
        <w:rPr>
          <w:lang w:val="en-US"/>
        </w:rPr>
        <w:t>The re</w:t>
      </w:r>
      <w:r w:rsidR="007E6CF9">
        <w:rPr>
          <w:lang w:val="en-US"/>
        </w:rPr>
        <w:t>sponses to the requirements will be scored according to the Conformity scale</w:t>
      </w:r>
      <w:r w:rsidR="00DF3ED8">
        <w:rPr>
          <w:lang w:val="en-US"/>
        </w:rPr>
        <w:t xml:space="preserve">. At equal score </w:t>
      </w:r>
      <w:r w:rsidR="007B3D62">
        <w:rPr>
          <w:lang w:val="en-US"/>
        </w:rPr>
        <w:t xml:space="preserve">the description of the proposed solution </w:t>
      </w:r>
      <w:r w:rsidR="00C41B7E">
        <w:rPr>
          <w:lang w:val="en-US"/>
        </w:rPr>
        <w:t xml:space="preserve">to the </w:t>
      </w:r>
      <w:r w:rsidR="00F27A36">
        <w:rPr>
          <w:lang w:val="en-US"/>
        </w:rPr>
        <w:t xml:space="preserve">requirement </w:t>
      </w:r>
      <w:r w:rsidR="007B3D62">
        <w:rPr>
          <w:lang w:val="en-US"/>
        </w:rPr>
        <w:t xml:space="preserve">will be used to determine the </w:t>
      </w:r>
      <w:r w:rsidR="008D131F">
        <w:rPr>
          <w:lang w:val="en-US"/>
        </w:rPr>
        <w:t>best fit.</w:t>
      </w:r>
    </w:p>
    <w:p w14:paraId="7939CD72" w14:textId="77777777" w:rsidR="002823BE" w:rsidRDefault="002823BE">
      <w:pPr>
        <w:rPr>
          <w:lang w:val="en-US"/>
        </w:rPr>
      </w:pPr>
      <w:r>
        <w:rPr>
          <w:lang w:val="en-US"/>
        </w:rPr>
        <w:br w:type="page"/>
      </w:r>
    </w:p>
    <w:p w14:paraId="7543090F" w14:textId="77777777" w:rsidR="008F46F1" w:rsidRPr="000D0D2A" w:rsidRDefault="008F46F1" w:rsidP="000B74E7">
      <w:pPr>
        <w:rPr>
          <w:lang w:val="en-US"/>
        </w:rPr>
      </w:pPr>
    </w:p>
    <w:tbl>
      <w:tblPr>
        <w:tblStyle w:val="Gittertabel5-mrk-farve6"/>
        <w:tblW w:w="0" w:type="auto"/>
        <w:tblLook w:val="04A0" w:firstRow="1" w:lastRow="0" w:firstColumn="1" w:lastColumn="0" w:noHBand="0" w:noVBand="1"/>
      </w:tblPr>
      <w:tblGrid>
        <w:gridCol w:w="630"/>
        <w:gridCol w:w="6028"/>
        <w:gridCol w:w="969"/>
        <w:gridCol w:w="1933"/>
      </w:tblGrid>
      <w:tr w:rsidR="00AF383C" w:rsidRPr="00416E3A" w14:paraId="0416AFA1" w14:textId="77777777" w:rsidTr="00AF3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09E6FD3" w14:textId="7A80A085" w:rsidR="00AF383C" w:rsidRPr="00416E3A" w:rsidRDefault="00AF383C">
            <w:pPr>
              <w:rPr>
                <w:lang w:val="en-US"/>
              </w:rPr>
            </w:pPr>
            <w:r>
              <w:rPr>
                <w:lang w:val="en-US"/>
              </w:rPr>
              <w:t>#</w:t>
            </w:r>
          </w:p>
        </w:tc>
        <w:tc>
          <w:tcPr>
            <w:tcW w:w="6028" w:type="dxa"/>
          </w:tcPr>
          <w:p w14:paraId="3934D54F" w14:textId="4B995D7A" w:rsidR="00AF383C" w:rsidRPr="00416E3A" w:rsidRDefault="008E0408">
            <w:pPr>
              <w:cnfStyle w:val="100000000000" w:firstRow="1" w:lastRow="0" w:firstColumn="0" w:lastColumn="0" w:oddVBand="0" w:evenVBand="0" w:oddHBand="0" w:evenHBand="0" w:firstRowFirstColumn="0" w:firstRowLastColumn="0" w:lastRowFirstColumn="0" w:lastRowLastColumn="0"/>
              <w:rPr>
                <w:lang w:val="en-US"/>
              </w:rPr>
            </w:pPr>
            <w:r>
              <w:rPr>
                <w:lang w:val="en-US"/>
              </w:rPr>
              <w:t>Requirement</w:t>
            </w:r>
          </w:p>
        </w:tc>
        <w:tc>
          <w:tcPr>
            <w:tcW w:w="969" w:type="dxa"/>
          </w:tcPr>
          <w:p w14:paraId="3AE80181" w14:textId="439920AF" w:rsidR="00AF383C" w:rsidRPr="00416E3A" w:rsidRDefault="00AF383C">
            <w:pPr>
              <w:cnfStyle w:val="100000000000" w:firstRow="1" w:lastRow="0" w:firstColumn="0" w:lastColumn="0" w:oddVBand="0" w:evenVBand="0" w:oddHBand="0" w:evenHBand="0" w:firstRowFirstColumn="0" w:firstRowLastColumn="0" w:lastRowFirstColumn="0" w:lastRowLastColumn="0"/>
              <w:rPr>
                <w:lang w:val="en-US"/>
              </w:rPr>
            </w:pPr>
            <w:r>
              <w:rPr>
                <w:lang w:val="en-US"/>
              </w:rPr>
              <w:t>Priority</w:t>
            </w:r>
          </w:p>
        </w:tc>
        <w:tc>
          <w:tcPr>
            <w:tcW w:w="1933" w:type="dxa"/>
          </w:tcPr>
          <w:p w14:paraId="1787154F" w14:textId="43FE8BF7" w:rsidR="00AF383C" w:rsidRDefault="00AF383C">
            <w:pPr>
              <w:cnfStyle w:val="100000000000" w:firstRow="1" w:lastRow="0" w:firstColumn="0" w:lastColumn="0" w:oddVBand="0" w:evenVBand="0" w:oddHBand="0" w:evenHBand="0" w:firstRowFirstColumn="0" w:firstRowLastColumn="0" w:lastRowFirstColumn="0" w:lastRowLastColumn="0"/>
              <w:rPr>
                <w:lang w:val="en-US"/>
              </w:rPr>
            </w:pPr>
            <w:r>
              <w:rPr>
                <w:lang w:val="en-US"/>
              </w:rPr>
              <w:t>Conformity (1-4)</w:t>
            </w:r>
          </w:p>
        </w:tc>
      </w:tr>
      <w:tr w:rsidR="00AF383C" w:rsidRPr="00A971BA" w14:paraId="4F793134"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55C57FA" w14:textId="28AEE81E" w:rsidR="00AF383C" w:rsidRDefault="00AF383C" w:rsidP="00A971BA">
            <w:r>
              <w:fldChar w:fldCharType="begin"/>
            </w:r>
            <w:r>
              <w:instrText xml:space="preserve"> AUTONUM </w:instrText>
            </w:r>
            <w:r>
              <w:fldChar w:fldCharType="end"/>
            </w:r>
          </w:p>
        </w:tc>
        <w:tc>
          <w:tcPr>
            <w:tcW w:w="6028" w:type="dxa"/>
          </w:tcPr>
          <w:p w14:paraId="72A7FD44" w14:textId="6BB14651" w:rsidR="00AF383C" w:rsidRPr="00A971BA"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sidRPr="00A971BA">
              <w:rPr>
                <w:lang w:val="en-US"/>
              </w:rPr>
              <w:t xml:space="preserve">The </w:t>
            </w:r>
            <w:r>
              <w:rPr>
                <w:lang w:val="en-US"/>
              </w:rPr>
              <w:t>ability to host the current data catalogue. This includes storing the current data structure [data sets, resources, organizations, topic groups], the ability to display data sets, search and find data sets and maintain data sets.</w:t>
            </w:r>
          </w:p>
        </w:tc>
        <w:tc>
          <w:tcPr>
            <w:tcW w:w="969" w:type="dxa"/>
          </w:tcPr>
          <w:p w14:paraId="31AC05D3" w14:textId="60DBD9FB" w:rsidR="00AF383C" w:rsidRPr="00A971BA"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MUST</w:t>
            </w:r>
          </w:p>
        </w:tc>
        <w:tc>
          <w:tcPr>
            <w:tcW w:w="1933" w:type="dxa"/>
          </w:tcPr>
          <w:p w14:paraId="6BB00AD7" w14:textId="77777777" w:rsidR="00AF383C" w:rsidRPr="00A971BA" w:rsidRDefault="00AF383C" w:rsidP="00A971BA">
            <w:pPr>
              <w:cnfStyle w:val="000000100000" w:firstRow="0" w:lastRow="0" w:firstColumn="0" w:lastColumn="0" w:oddVBand="0" w:evenVBand="0" w:oddHBand="1" w:evenHBand="0" w:firstRowFirstColumn="0" w:firstRowLastColumn="0" w:lastRowFirstColumn="0" w:lastRowLastColumn="0"/>
              <w:rPr>
                <w:lang w:val="en-US"/>
              </w:rPr>
            </w:pPr>
          </w:p>
        </w:tc>
      </w:tr>
      <w:tr w:rsidR="00AF383C" w:rsidRPr="00385E2D" w14:paraId="444212EF"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1D3109D8" w14:textId="2670719C" w:rsidR="00AF383C" w:rsidRDefault="00AF383C" w:rsidP="00A971BA">
            <w:r>
              <w:fldChar w:fldCharType="begin"/>
            </w:r>
            <w:r>
              <w:instrText xml:space="preserve"> AUTONUM </w:instrText>
            </w:r>
            <w:r>
              <w:fldChar w:fldCharType="end"/>
            </w:r>
          </w:p>
        </w:tc>
        <w:tc>
          <w:tcPr>
            <w:tcW w:w="6028" w:type="dxa"/>
          </w:tcPr>
          <w:p w14:paraId="7D537057" w14:textId="50692BA0" w:rsidR="00AF383C" w:rsidRPr="00A971BA"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sidRPr="1997D6F5">
              <w:rPr>
                <w:lang w:val="en-US"/>
              </w:rPr>
              <w:t>Possibility to provide map-, table- and other relevant views of the stored data sets.</w:t>
            </w:r>
          </w:p>
        </w:tc>
        <w:tc>
          <w:tcPr>
            <w:tcW w:w="969" w:type="dxa"/>
          </w:tcPr>
          <w:p w14:paraId="0509C7C0" w14:textId="1CC10C58" w:rsidR="00AF383C"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COULD</w:t>
            </w:r>
          </w:p>
        </w:tc>
        <w:tc>
          <w:tcPr>
            <w:tcW w:w="1933" w:type="dxa"/>
          </w:tcPr>
          <w:p w14:paraId="5857A72E" w14:textId="77777777" w:rsidR="00AF383C" w:rsidRPr="00A971BA" w:rsidRDefault="00AF383C" w:rsidP="00A971BA">
            <w:pPr>
              <w:cnfStyle w:val="000000000000" w:firstRow="0" w:lastRow="0" w:firstColumn="0" w:lastColumn="0" w:oddVBand="0" w:evenVBand="0" w:oddHBand="0" w:evenHBand="0" w:firstRowFirstColumn="0" w:firstRowLastColumn="0" w:lastRowFirstColumn="0" w:lastRowLastColumn="0"/>
              <w:rPr>
                <w:lang w:val="en-US"/>
              </w:rPr>
            </w:pPr>
          </w:p>
        </w:tc>
      </w:tr>
      <w:tr w:rsidR="00AF383C" w:rsidRPr="00A971BA" w14:paraId="73027BD3"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FB53F26" w14:textId="272351A9" w:rsidR="00AF383C" w:rsidRDefault="00AF383C" w:rsidP="00A971BA">
            <w:r>
              <w:fldChar w:fldCharType="begin"/>
            </w:r>
            <w:r>
              <w:instrText xml:space="preserve"> AUTONUM </w:instrText>
            </w:r>
            <w:r>
              <w:fldChar w:fldCharType="end"/>
            </w:r>
          </w:p>
        </w:tc>
        <w:tc>
          <w:tcPr>
            <w:tcW w:w="6028" w:type="dxa"/>
          </w:tcPr>
          <w:p w14:paraId="27447431" w14:textId="7466B0FA" w:rsidR="00AF383C" w:rsidRPr="00A971BA"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The ability to allow individual organizations to maintain their own data sets on the common platform.</w:t>
            </w:r>
            <w:r w:rsidR="00976727">
              <w:rPr>
                <w:lang w:val="en-US"/>
              </w:rPr>
              <w:t xml:space="preserve"> This includes user and password management.</w:t>
            </w:r>
          </w:p>
        </w:tc>
        <w:tc>
          <w:tcPr>
            <w:tcW w:w="969" w:type="dxa"/>
          </w:tcPr>
          <w:p w14:paraId="082A380C" w14:textId="3D88EC39" w:rsidR="00AF383C"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MUST</w:t>
            </w:r>
          </w:p>
        </w:tc>
        <w:tc>
          <w:tcPr>
            <w:tcW w:w="1933" w:type="dxa"/>
          </w:tcPr>
          <w:p w14:paraId="718BFDF3" w14:textId="77777777" w:rsidR="00AF383C" w:rsidRPr="00A971BA" w:rsidRDefault="00AF383C" w:rsidP="00A971BA">
            <w:pPr>
              <w:cnfStyle w:val="000000100000" w:firstRow="0" w:lastRow="0" w:firstColumn="0" w:lastColumn="0" w:oddVBand="0" w:evenVBand="0" w:oddHBand="1" w:evenHBand="0" w:firstRowFirstColumn="0" w:firstRowLastColumn="0" w:lastRowFirstColumn="0" w:lastRowLastColumn="0"/>
              <w:rPr>
                <w:lang w:val="en-US"/>
              </w:rPr>
            </w:pPr>
          </w:p>
        </w:tc>
      </w:tr>
      <w:tr w:rsidR="00AF383C" w:rsidRPr="00385E2D" w14:paraId="0BBB7E26"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776170AD" w14:textId="590B92F3" w:rsidR="00AF383C" w:rsidRDefault="00AF383C" w:rsidP="00A971BA">
            <w:r>
              <w:fldChar w:fldCharType="begin"/>
            </w:r>
            <w:r>
              <w:instrText xml:space="preserve"> AUTONUM </w:instrText>
            </w:r>
            <w:r>
              <w:fldChar w:fldCharType="end"/>
            </w:r>
          </w:p>
        </w:tc>
        <w:tc>
          <w:tcPr>
            <w:tcW w:w="6028" w:type="dxa"/>
          </w:tcPr>
          <w:p w14:paraId="702CA66A" w14:textId="49FFEE59"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sidRPr="1997D6F5">
              <w:rPr>
                <w:lang w:val="en-US"/>
              </w:rPr>
              <w:t>Provide</w:t>
            </w:r>
            <w:r w:rsidRPr="009A77C0">
              <w:rPr>
                <w:lang w:val="en-US"/>
              </w:rPr>
              <w:t xml:space="preserve"> a</w:t>
            </w:r>
            <w:r>
              <w:rPr>
                <w:lang w:val="en-US"/>
              </w:rPr>
              <w:t xml:space="preserve"> solution for integration of organizational content like news, minutes of meetings etc. and make this </w:t>
            </w:r>
            <w:r w:rsidRPr="1997D6F5">
              <w:rPr>
                <w:lang w:val="en-US"/>
              </w:rPr>
              <w:t xml:space="preserve">content </w:t>
            </w:r>
            <w:r>
              <w:rPr>
                <w:lang w:val="en-US"/>
              </w:rPr>
              <w:t>maintainable.</w:t>
            </w:r>
          </w:p>
        </w:tc>
        <w:tc>
          <w:tcPr>
            <w:tcW w:w="969" w:type="dxa"/>
          </w:tcPr>
          <w:p w14:paraId="7BF91D3A" w14:textId="740ED093"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SHOULD</w:t>
            </w:r>
          </w:p>
        </w:tc>
        <w:tc>
          <w:tcPr>
            <w:tcW w:w="1933" w:type="dxa"/>
          </w:tcPr>
          <w:p w14:paraId="472949D8" w14:textId="77777777"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p>
        </w:tc>
      </w:tr>
      <w:tr w:rsidR="00AF383C" w:rsidRPr="009A77C0" w14:paraId="73F8B976"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2E33433" w14:textId="365DD325" w:rsidR="00AF383C" w:rsidRPr="009A77C0" w:rsidRDefault="00AF383C" w:rsidP="00A971BA">
            <w:pPr>
              <w:rPr>
                <w:lang w:val="en-US"/>
              </w:rPr>
            </w:pPr>
            <w:r>
              <w:fldChar w:fldCharType="begin"/>
            </w:r>
            <w:r>
              <w:instrText xml:space="preserve"> AUTONUM </w:instrText>
            </w:r>
            <w:r>
              <w:fldChar w:fldCharType="end"/>
            </w:r>
          </w:p>
        </w:tc>
        <w:tc>
          <w:tcPr>
            <w:tcW w:w="6028" w:type="dxa"/>
          </w:tcPr>
          <w:p w14:paraId="7A239314" w14:textId="77777777" w:rsidR="00AF383C"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The ability to provide the current functionality provided by custom developed extensions:</w:t>
            </w:r>
          </w:p>
          <w:p w14:paraId="3B73ED8B" w14:textId="77777777" w:rsidR="00AF383C" w:rsidRDefault="00AF383C" w:rsidP="000D0D2A">
            <w:pPr>
              <w:pStyle w:val="Listeafsnit"/>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DCAT harvesting</w:t>
            </w:r>
          </w:p>
          <w:p w14:paraId="34CE8C48" w14:textId="77777777" w:rsidR="00AF383C" w:rsidRDefault="00AF383C" w:rsidP="000D0D2A">
            <w:pPr>
              <w:pStyle w:val="Listeafsnit"/>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Datavejviser DCAT</w:t>
            </w:r>
          </w:p>
          <w:p w14:paraId="51564B70" w14:textId="7EA6C39C" w:rsidR="00AF383C" w:rsidRPr="000D0D2A" w:rsidRDefault="00AF383C" w:rsidP="000D0D2A">
            <w:pPr>
              <w:pStyle w:val="Listeafsnit"/>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Pr>
                <w:lang w:val="en-US"/>
              </w:rPr>
              <w:t>Auto-translation of certain meta data to English and French</w:t>
            </w:r>
          </w:p>
        </w:tc>
        <w:tc>
          <w:tcPr>
            <w:tcW w:w="969" w:type="dxa"/>
          </w:tcPr>
          <w:p w14:paraId="7698E964" w14:textId="68A02C7C"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SHOULD</w:t>
            </w:r>
          </w:p>
        </w:tc>
        <w:tc>
          <w:tcPr>
            <w:tcW w:w="1933" w:type="dxa"/>
          </w:tcPr>
          <w:p w14:paraId="113F3581" w14:textId="77777777"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p>
        </w:tc>
      </w:tr>
      <w:tr w:rsidR="00AF383C" w:rsidRPr="009A77C0" w14:paraId="4B93793F"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7A5AA170" w14:textId="739F5108" w:rsidR="00AF383C" w:rsidRDefault="00AF383C" w:rsidP="00A971BA">
            <w:r>
              <w:fldChar w:fldCharType="begin"/>
            </w:r>
            <w:r>
              <w:instrText xml:space="preserve"> AUTONUM </w:instrText>
            </w:r>
            <w:r>
              <w:fldChar w:fldCharType="end"/>
            </w:r>
          </w:p>
        </w:tc>
        <w:tc>
          <w:tcPr>
            <w:tcW w:w="6028" w:type="dxa"/>
          </w:tcPr>
          <w:p w14:paraId="01F0516F" w14:textId="6A319680" w:rsidR="00AF383C"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The ability to access the contents of the catalog by a well-defined api</w:t>
            </w:r>
            <w:r w:rsidRPr="1997D6F5">
              <w:rPr>
                <w:lang w:val="en-US"/>
              </w:rPr>
              <w:t>.</w:t>
            </w:r>
          </w:p>
        </w:tc>
        <w:tc>
          <w:tcPr>
            <w:tcW w:w="969" w:type="dxa"/>
          </w:tcPr>
          <w:p w14:paraId="7B70B9A8" w14:textId="5E1A6ADF"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SHOULD</w:t>
            </w:r>
          </w:p>
        </w:tc>
        <w:tc>
          <w:tcPr>
            <w:tcW w:w="1933" w:type="dxa"/>
          </w:tcPr>
          <w:p w14:paraId="72A32043" w14:textId="77777777"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p>
        </w:tc>
      </w:tr>
      <w:tr w:rsidR="00AF383C" w:rsidRPr="009A77C0" w14:paraId="3D0026B8"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7EFE066" w14:textId="4FEFBD39" w:rsidR="00AF383C" w:rsidRPr="009A77C0" w:rsidRDefault="00AF383C" w:rsidP="00A971BA">
            <w:pPr>
              <w:rPr>
                <w:lang w:val="en-US"/>
              </w:rPr>
            </w:pPr>
            <w:r>
              <w:fldChar w:fldCharType="begin"/>
            </w:r>
            <w:r>
              <w:instrText xml:space="preserve"> AUTONUM </w:instrText>
            </w:r>
            <w:r>
              <w:fldChar w:fldCharType="end"/>
            </w:r>
          </w:p>
        </w:tc>
        <w:tc>
          <w:tcPr>
            <w:tcW w:w="6028" w:type="dxa"/>
          </w:tcPr>
          <w:p w14:paraId="38807EB3" w14:textId="0BE0BB5E"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The ability to undertake development of change requests including counseling on proper implementation of changes</w:t>
            </w:r>
            <w:r w:rsidRPr="1997D6F5">
              <w:rPr>
                <w:lang w:val="en-US"/>
              </w:rPr>
              <w:t>.</w:t>
            </w:r>
          </w:p>
        </w:tc>
        <w:tc>
          <w:tcPr>
            <w:tcW w:w="969" w:type="dxa"/>
          </w:tcPr>
          <w:p w14:paraId="3489641B" w14:textId="177CC38E"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MUST</w:t>
            </w:r>
          </w:p>
        </w:tc>
        <w:tc>
          <w:tcPr>
            <w:tcW w:w="1933" w:type="dxa"/>
          </w:tcPr>
          <w:p w14:paraId="7E9671CE" w14:textId="77777777"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p>
        </w:tc>
      </w:tr>
      <w:tr w:rsidR="00AF383C" w:rsidRPr="009A77C0" w14:paraId="1E65D758"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4F53931A" w14:textId="2CBB7DFB" w:rsidR="00AF383C" w:rsidRDefault="00AF383C" w:rsidP="00A971BA">
            <w:r>
              <w:fldChar w:fldCharType="begin"/>
            </w:r>
            <w:r>
              <w:instrText xml:space="preserve"> AUTONUM </w:instrText>
            </w:r>
            <w:r>
              <w:fldChar w:fldCharType="end"/>
            </w:r>
          </w:p>
        </w:tc>
        <w:tc>
          <w:tcPr>
            <w:tcW w:w="6028" w:type="dxa"/>
          </w:tcPr>
          <w:p w14:paraId="543F399D" w14:textId="73E64755" w:rsidR="00AF383C"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Changes and additions to open source elements of the hosted solutions should be licensed as open source.</w:t>
            </w:r>
          </w:p>
        </w:tc>
        <w:tc>
          <w:tcPr>
            <w:tcW w:w="969" w:type="dxa"/>
          </w:tcPr>
          <w:p w14:paraId="18922ED4" w14:textId="54525100" w:rsidR="00AF383C"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SHOULD</w:t>
            </w:r>
          </w:p>
        </w:tc>
        <w:tc>
          <w:tcPr>
            <w:tcW w:w="1933" w:type="dxa"/>
          </w:tcPr>
          <w:p w14:paraId="6D1EF9B4" w14:textId="77777777"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p>
        </w:tc>
      </w:tr>
      <w:tr w:rsidR="00976727" w:rsidRPr="00976727" w14:paraId="0D0591BC"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CB91B7B" w14:textId="1613AB8B" w:rsidR="00976727" w:rsidRDefault="00976727" w:rsidP="00A971BA">
            <w:r>
              <w:fldChar w:fldCharType="begin"/>
            </w:r>
            <w:r>
              <w:instrText xml:space="preserve"> AUTONUM </w:instrText>
            </w:r>
            <w:r>
              <w:fldChar w:fldCharType="end"/>
            </w:r>
          </w:p>
        </w:tc>
        <w:tc>
          <w:tcPr>
            <w:tcW w:w="6028" w:type="dxa"/>
          </w:tcPr>
          <w:p w14:paraId="345FFA27" w14:textId="168EF959" w:rsidR="00976727" w:rsidRPr="00976727" w:rsidRDefault="00976727"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All delivered solutions must conform to the mandatory </w:t>
            </w:r>
            <w:r w:rsidRPr="00976727">
              <w:rPr>
                <w:lang w:val="en-US"/>
              </w:rPr>
              <w:t>EU-standard, EN 301 549 version 3.2.1</w:t>
            </w:r>
            <w:r>
              <w:rPr>
                <w:lang w:val="en-US"/>
              </w:rPr>
              <w:t xml:space="preserve"> for web usability as well as local Danish regulations on cookies etc.</w:t>
            </w:r>
          </w:p>
        </w:tc>
        <w:tc>
          <w:tcPr>
            <w:tcW w:w="969" w:type="dxa"/>
          </w:tcPr>
          <w:p w14:paraId="610C740C" w14:textId="7787CC68" w:rsidR="00976727" w:rsidRDefault="00976727"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MUST</w:t>
            </w:r>
          </w:p>
        </w:tc>
        <w:tc>
          <w:tcPr>
            <w:tcW w:w="1933" w:type="dxa"/>
          </w:tcPr>
          <w:p w14:paraId="35CCCDF2" w14:textId="77777777" w:rsidR="00976727" w:rsidRPr="009A77C0" w:rsidRDefault="00976727" w:rsidP="00A971BA">
            <w:pPr>
              <w:cnfStyle w:val="000000100000" w:firstRow="0" w:lastRow="0" w:firstColumn="0" w:lastColumn="0" w:oddVBand="0" w:evenVBand="0" w:oddHBand="1" w:evenHBand="0" w:firstRowFirstColumn="0" w:firstRowLastColumn="0" w:lastRowFirstColumn="0" w:lastRowLastColumn="0"/>
              <w:rPr>
                <w:lang w:val="en-US"/>
              </w:rPr>
            </w:pPr>
          </w:p>
        </w:tc>
      </w:tr>
      <w:tr w:rsidR="00075FCB" w:rsidRPr="002255AB" w14:paraId="07F2EC84"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763EE57F" w14:textId="3E4B456F" w:rsidR="00075FCB" w:rsidRDefault="00075FCB" w:rsidP="00A971BA">
            <w:r>
              <w:t>10.</w:t>
            </w:r>
          </w:p>
        </w:tc>
        <w:tc>
          <w:tcPr>
            <w:tcW w:w="6028" w:type="dxa"/>
          </w:tcPr>
          <w:p w14:paraId="689B3099" w14:textId="4C7D595D" w:rsidR="00B23CFD" w:rsidRDefault="002255AB" w:rsidP="00B23CFD">
            <w:pPr>
              <w:cnfStyle w:val="000000000000" w:firstRow="0" w:lastRow="0" w:firstColumn="0" w:lastColumn="0" w:oddVBand="0" w:evenVBand="0" w:oddHBand="0" w:evenHBand="0" w:firstRowFirstColumn="0" w:firstRowLastColumn="0" w:lastRowFirstColumn="0" w:lastRowLastColumn="0"/>
              <w:rPr>
                <w:lang w:val="en-US"/>
              </w:rPr>
            </w:pPr>
            <w:r w:rsidRPr="002255AB">
              <w:rPr>
                <w:lang w:val="en-US"/>
              </w:rPr>
              <w:t xml:space="preserve">The supplier is obliged to maintain the </w:t>
            </w:r>
            <w:r w:rsidR="00520042">
              <w:rPr>
                <w:lang w:val="en-US"/>
              </w:rPr>
              <w:t>s</w:t>
            </w:r>
            <w:r w:rsidRPr="002255AB">
              <w:rPr>
                <w:lang w:val="en-US"/>
              </w:rPr>
              <w:t xml:space="preserve">olution so </w:t>
            </w:r>
            <w:r w:rsidR="00AA68E3">
              <w:rPr>
                <w:lang w:val="en-US"/>
              </w:rPr>
              <w:t xml:space="preserve">it </w:t>
            </w:r>
            <w:r w:rsidRPr="002255AB">
              <w:rPr>
                <w:lang w:val="en-US"/>
              </w:rPr>
              <w:t>complies with the legislation in force at all times in this country, including in the event of changes to the law, including, but not limited to:</w:t>
            </w:r>
            <w:r w:rsidR="00850D44">
              <w:rPr>
                <w:lang w:val="en-US"/>
              </w:rPr>
              <w:t xml:space="preserve"> </w:t>
            </w:r>
            <w:r w:rsidRPr="002255AB">
              <w:rPr>
                <w:lang w:val="en-US"/>
              </w:rPr>
              <w:t>The</w:t>
            </w:r>
            <w:r w:rsidR="00454866">
              <w:rPr>
                <w:lang w:val="en-US"/>
              </w:rPr>
              <w:t xml:space="preserve"> Danish</w:t>
            </w:r>
            <w:r w:rsidRPr="002255AB">
              <w:rPr>
                <w:lang w:val="en-US"/>
              </w:rPr>
              <w:t xml:space="preserve"> Data Protection Act (Act No. 502 of 23 May 2018)</w:t>
            </w:r>
            <w:r w:rsidR="00B23CFD">
              <w:rPr>
                <w:lang w:val="en-US"/>
              </w:rPr>
              <w:t xml:space="preserve"> </w:t>
            </w:r>
          </w:p>
          <w:p w14:paraId="30883A77" w14:textId="70B683D9" w:rsidR="009211BB" w:rsidRDefault="00B23CFD" w:rsidP="00506B13">
            <w:pPr>
              <w:cnfStyle w:val="000000000000" w:firstRow="0" w:lastRow="0" w:firstColumn="0" w:lastColumn="0" w:oddVBand="0" w:evenVBand="0" w:oddHBand="0" w:evenHBand="0" w:firstRowFirstColumn="0" w:firstRowLastColumn="0" w:lastRowFirstColumn="0" w:lastRowLastColumn="0"/>
              <w:rPr>
                <w:lang w:val="en-US"/>
              </w:rPr>
            </w:pPr>
            <w:r w:rsidRPr="00014455">
              <w:rPr>
                <w:i/>
                <w:iCs/>
                <w:lang w:val="en-US"/>
              </w:rPr>
              <w:t>(This Act supplements and implements Regulation (EU) 2016/679 of the European Parliament and of the Council of 27 April 2016 on the protection of natural persons with regard to the processing of personal data and on the free movement of such data (the General Data Protection Regulation</w:t>
            </w:r>
            <w:r w:rsidRPr="009211BB">
              <w:rPr>
                <w:lang w:val="en-US"/>
              </w:rPr>
              <w:t>)</w:t>
            </w:r>
            <w:r w:rsidRPr="00014455">
              <w:rPr>
                <w:i/>
                <w:iCs/>
                <w:lang w:val="en-US"/>
              </w:rPr>
              <w:t>)</w:t>
            </w:r>
          </w:p>
          <w:p w14:paraId="2E4C570B" w14:textId="74B3B2BF" w:rsidR="00AC22EC" w:rsidRPr="00DF0ADD" w:rsidRDefault="00AC22EC" w:rsidP="00AC22EC">
            <w:pPr>
              <w:jc w:val="both"/>
              <w:cnfStyle w:val="000000000000" w:firstRow="0" w:lastRow="0" w:firstColumn="0" w:lastColumn="0" w:oddVBand="0" w:evenVBand="0" w:oddHBand="0" w:evenHBand="0" w:firstRowFirstColumn="0" w:firstRowLastColumn="0" w:lastRowFirstColumn="0" w:lastRowLastColumn="0"/>
              <w:rPr>
                <w:rFonts w:cs="Arial"/>
                <w:u w:val="single"/>
                <w:lang w:val="en-US"/>
              </w:rPr>
            </w:pPr>
          </w:p>
          <w:p w14:paraId="41B3FF1D" w14:textId="23B1EDE1" w:rsidR="00AC22EC" w:rsidRPr="00852643" w:rsidRDefault="00AC22EC" w:rsidP="00AC22EC">
            <w:pPr>
              <w:jc w:val="both"/>
              <w:cnfStyle w:val="000000000000" w:firstRow="0" w:lastRow="0" w:firstColumn="0" w:lastColumn="0" w:oddVBand="0" w:evenVBand="0" w:oddHBand="0" w:evenHBand="0" w:firstRowFirstColumn="0" w:firstRowLastColumn="0" w:lastRowFirstColumn="0" w:lastRowLastColumn="0"/>
              <w:rPr>
                <w:lang w:val="en-US"/>
              </w:rPr>
            </w:pPr>
            <w:r w:rsidRPr="2E4A1E48">
              <w:rPr>
                <w:lang w:val="en-US"/>
              </w:rPr>
              <w:t xml:space="preserve">Contractual Clauses in order to GDPR data processing agreement is in the </w:t>
            </w:r>
            <w:r>
              <w:rPr>
                <w:lang w:val="en-US"/>
              </w:rPr>
              <w:t>A</w:t>
            </w:r>
            <w:r w:rsidRPr="2E4A1E48">
              <w:rPr>
                <w:lang w:val="en-US"/>
              </w:rPr>
              <w:t>ppendix</w:t>
            </w:r>
            <w:r>
              <w:rPr>
                <w:lang w:val="en-US"/>
              </w:rPr>
              <w:t xml:space="preserve"> C</w:t>
            </w:r>
            <w:r w:rsidRPr="2E4A1E48">
              <w:rPr>
                <w:lang w:val="en-US"/>
              </w:rPr>
              <w:t xml:space="preserve">. </w:t>
            </w:r>
            <w:r>
              <w:rPr>
                <w:lang w:val="en-US"/>
              </w:rPr>
              <w:t>I</w:t>
            </w:r>
            <w:r w:rsidRPr="00852643">
              <w:rPr>
                <w:lang w:val="en-US"/>
              </w:rPr>
              <w:t xml:space="preserve">t is a prerequisite for the contract that the GDPR </w:t>
            </w:r>
            <w:r>
              <w:rPr>
                <w:lang w:val="en-US"/>
              </w:rPr>
              <w:t xml:space="preserve">data processing agreement </w:t>
            </w:r>
            <w:r w:rsidRPr="00852643">
              <w:rPr>
                <w:lang w:val="en-US"/>
              </w:rPr>
              <w:t xml:space="preserve">is </w:t>
            </w:r>
            <w:r>
              <w:rPr>
                <w:lang w:val="en-US"/>
              </w:rPr>
              <w:t xml:space="preserve">filled out </w:t>
            </w:r>
            <w:r w:rsidRPr="00B23CFD">
              <w:rPr>
                <w:lang w:val="en-US"/>
              </w:rPr>
              <w:t>and signed.</w:t>
            </w:r>
          </w:p>
          <w:p w14:paraId="65F729FA" w14:textId="77777777" w:rsidR="00075FCB" w:rsidRDefault="00075FCB" w:rsidP="00B23CFD">
            <w:pPr>
              <w:cnfStyle w:val="000000000000" w:firstRow="0" w:lastRow="0" w:firstColumn="0" w:lastColumn="0" w:oddVBand="0" w:evenVBand="0" w:oddHBand="0" w:evenHBand="0" w:firstRowFirstColumn="0" w:firstRowLastColumn="0" w:lastRowFirstColumn="0" w:lastRowLastColumn="0"/>
              <w:rPr>
                <w:lang w:val="en-US"/>
              </w:rPr>
            </w:pPr>
          </w:p>
        </w:tc>
        <w:tc>
          <w:tcPr>
            <w:tcW w:w="969" w:type="dxa"/>
          </w:tcPr>
          <w:p w14:paraId="56124AF0" w14:textId="187462AD" w:rsidR="00075FCB" w:rsidRDefault="00C65D75"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MUST</w:t>
            </w:r>
          </w:p>
        </w:tc>
        <w:tc>
          <w:tcPr>
            <w:tcW w:w="1933" w:type="dxa"/>
          </w:tcPr>
          <w:p w14:paraId="16D1C157" w14:textId="77777777" w:rsidR="00075FCB" w:rsidRPr="009A77C0" w:rsidRDefault="00075FCB" w:rsidP="00A971BA">
            <w:pPr>
              <w:cnfStyle w:val="000000000000" w:firstRow="0" w:lastRow="0" w:firstColumn="0" w:lastColumn="0" w:oddVBand="0" w:evenVBand="0" w:oddHBand="0" w:evenHBand="0" w:firstRowFirstColumn="0" w:firstRowLastColumn="0" w:lastRowFirstColumn="0" w:lastRowLastColumn="0"/>
              <w:rPr>
                <w:lang w:val="en-US"/>
              </w:rPr>
            </w:pPr>
          </w:p>
        </w:tc>
      </w:tr>
      <w:tr w:rsidR="00AF383C" w:rsidRPr="009A77C0" w14:paraId="4D9909C4"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9DA31FE" w14:textId="710A7520" w:rsidR="00AF383C" w:rsidRPr="009A77C0" w:rsidRDefault="00075FCB" w:rsidP="00A971BA">
            <w:pPr>
              <w:rPr>
                <w:lang w:val="en-US"/>
              </w:rPr>
            </w:pPr>
            <w:r>
              <w:t>1</w:t>
            </w:r>
            <w:r w:rsidR="002C6C95">
              <w:t>1.</w:t>
            </w:r>
          </w:p>
        </w:tc>
        <w:tc>
          <w:tcPr>
            <w:tcW w:w="6028" w:type="dxa"/>
          </w:tcPr>
          <w:p w14:paraId="52BCAC3F" w14:textId="41235A34"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A support function contactable by email.</w:t>
            </w:r>
          </w:p>
        </w:tc>
        <w:tc>
          <w:tcPr>
            <w:tcW w:w="969" w:type="dxa"/>
          </w:tcPr>
          <w:p w14:paraId="2B28D7F6" w14:textId="0C367A3F"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MUST</w:t>
            </w:r>
          </w:p>
        </w:tc>
        <w:tc>
          <w:tcPr>
            <w:tcW w:w="1933" w:type="dxa"/>
          </w:tcPr>
          <w:p w14:paraId="5233CBF4" w14:textId="77777777"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p>
        </w:tc>
      </w:tr>
      <w:tr w:rsidR="00AF383C" w:rsidRPr="009A77C0" w14:paraId="1423B547"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03187BE0" w14:textId="3E4E996A" w:rsidR="00AF383C" w:rsidRPr="009A77C0" w:rsidRDefault="002C6C95" w:rsidP="00A971BA">
            <w:pPr>
              <w:rPr>
                <w:lang w:val="en-US"/>
              </w:rPr>
            </w:pPr>
            <w:r>
              <w:t>12.</w:t>
            </w:r>
          </w:p>
        </w:tc>
        <w:tc>
          <w:tcPr>
            <w:tcW w:w="6028" w:type="dxa"/>
          </w:tcPr>
          <w:p w14:paraId="5D54E16B" w14:textId="485804BE"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Support issues must be handled according to a well-defined process described in the comments</w:t>
            </w:r>
          </w:p>
        </w:tc>
        <w:tc>
          <w:tcPr>
            <w:tcW w:w="969" w:type="dxa"/>
          </w:tcPr>
          <w:p w14:paraId="1C58A3B0" w14:textId="43621669"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SHOULD</w:t>
            </w:r>
          </w:p>
        </w:tc>
        <w:tc>
          <w:tcPr>
            <w:tcW w:w="1933" w:type="dxa"/>
          </w:tcPr>
          <w:p w14:paraId="30CF5941" w14:textId="77777777"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p>
        </w:tc>
      </w:tr>
      <w:tr w:rsidR="00AF383C" w:rsidRPr="009A77C0" w14:paraId="299F9EE4"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7C780D0" w14:textId="7FCD968B" w:rsidR="00AF383C" w:rsidRDefault="002C6C95" w:rsidP="00A971BA">
            <w:r>
              <w:t>13.</w:t>
            </w:r>
          </w:p>
        </w:tc>
        <w:tc>
          <w:tcPr>
            <w:tcW w:w="6028" w:type="dxa"/>
          </w:tcPr>
          <w:p w14:paraId="5BA56DCC" w14:textId="69BC2E85" w:rsidR="00AF383C"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Support issues should be logged. Logs and overviews should be available upon request.</w:t>
            </w:r>
          </w:p>
        </w:tc>
        <w:tc>
          <w:tcPr>
            <w:tcW w:w="969" w:type="dxa"/>
          </w:tcPr>
          <w:p w14:paraId="74721AD3" w14:textId="70866A1C"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SHOULD</w:t>
            </w:r>
          </w:p>
        </w:tc>
        <w:tc>
          <w:tcPr>
            <w:tcW w:w="1933" w:type="dxa"/>
          </w:tcPr>
          <w:p w14:paraId="016DC044" w14:textId="77777777"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p>
        </w:tc>
      </w:tr>
      <w:tr w:rsidR="00AF383C" w:rsidRPr="009A77C0" w14:paraId="2FF43556"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158E9400" w14:textId="7F28333E" w:rsidR="00AF383C" w:rsidRDefault="002C6C95" w:rsidP="00A971BA">
            <w:r>
              <w:lastRenderedPageBreak/>
              <w:t>14.</w:t>
            </w:r>
          </w:p>
        </w:tc>
        <w:tc>
          <w:tcPr>
            <w:tcW w:w="6028" w:type="dxa"/>
          </w:tcPr>
          <w:p w14:paraId="19D07EF9" w14:textId="18758AF4" w:rsidR="00AF383C"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The hosted environment should include at least a production and a staging environment</w:t>
            </w:r>
          </w:p>
        </w:tc>
        <w:tc>
          <w:tcPr>
            <w:tcW w:w="969" w:type="dxa"/>
          </w:tcPr>
          <w:p w14:paraId="6EA3C80F" w14:textId="03C22EF4"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COULD</w:t>
            </w:r>
          </w:p>
        </w:tc>
        <w:tc>
          <w:tcPr>
            <w:tcW w:w="1933" w:type="dxa"/>
          </w:tcPr>
          <w:p w14:paraId="05D04841" w14:textId="77777777"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p>
        </w:tc>
      </w:tr>
      <w:tr w:rsidR="00AF383C" w:rsidRPr="009A77C0" w14:paraId="33D19FE9"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A58831C" w14:textId="7AFA6E10" w:rsidR="00AF383C" w:rsidRDefault="002C6C95" w:rsidP="00A971BA">
            <w:r>
              <w:t>15</w:t>
            </w:r>
          </w:p>
        </w:tc>
        <w:tc>
          <w:tcPr>
            <w:tcW w:w="6028" w:type="dxa"/>
          </w:tcPr>
          <w:p w14:paraId="00AA8C03" w14:textId="3A399843" w:rsidR="00AF383C"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hosted environment should be surveyed for security and other types of incidents. </w:t>
            </w:r>
          </w:p>
        </w:tc>
        <w:tc>
          <w:tcPr>
            <w:tcW w:w="969" w:type="dxa"/>
          </w:tcPr>
          <w:p w14:paraId="29CA0377" w14:textId="102D6145"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MUST</w:t>
            </w:r>
          </w:p>
        </w:tc>
        <w:tc>
          <w:tcPr>
            <w:tcW w:w="1933" w:type="dxa"/>
          </w:tcPr>
          <w:p w14:paraId="2A05F78F" w14:textId="77777777"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p>
        </w:tc>
      </w:tr>
      <w:tr w:rsidR="00AF383C" w:rsidRPr="009A77C0" w14:paraId="5F9EE055"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3E904BAF" w14:textId="4194AD95" w:rsidR="00AF383C" w:rsidRDefault="00303378" w:rsidP="00A971BA">
            <w:r>
              <w:t>16.</w:t>
            </w:r>
          </w:p>
        </w:tc>
        <w:tc>
          <w:tcPr>
            <w:tcW w:w="6028" w:type="dxa"/>
          </w:tcPr>
          <w:p w14:paraId="40B443E1" w14:textId="2356F02F" w:rsidR="00AF383C"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Logs of incidents to the hosted environments should be available upon requests.</w:t>
            </w:r>
          </w:p>
        </w:tc>
        <w:tc>
          <w:tcPr>
            <w:tcW w:w="969" w:type="dxa"/>
          </w:tcPr>
          <w:p w14:paraId="5E9CD744" w14:textId="1CE9E5F8" w:rsidR="00AF383C"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SHOULD</w:t>
            </w:r>
          </w:p>
        </w:tc>
        <w:tc>
          <w:tcPr>
            <w:tcW w:w="1933" w:type="dxa"/>
          </w:tcPr>
          <w:p w14:paraId="36031FF6" w14:textId="77777777"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p>
        </w:tc>
      </w:tr>
      <w:tr w:rsidR="00AF383C" w:rsidRPr="00E02615" w14:paraId="74BF11C9"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2C4F43F" w14:textId="3C781A87" w:rsidR="00AF383C" w:rsidRDefault="00303378" w:rsidP="00A971BA">
            <w:r>
              <w:t>17.</w:t>
            </w:r>
          </w:p>
        </w:tc>
        <w:tc>
          <w:tcPr>
            <w:tcW w:w="6028" w:type="dxa"/>
          </w:tcPr>
          <w:p w14:paraId="48DADDB8" w14:textId="53A4F209" w:rsidR="00AF383C"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rFonts w:cs="Arial"/>
                <w:lang w:val="en-US"/>
              </w:rPr>
              <w:t>The Supplier shall make the Portal available 99.5% of the time on a twenty-four hours a day, seven days a week basis</w:t>
            </w:r>
          </w:p>
        </w:tc>
        <w:tc>
          <w:tcPr>
            <w:tcW w:w="969" w:type="dxa"/>
          </w:tcPr>
          <w:p w14:paraId="0F78A49A" w14:textId="2EE046D3" w:rsidR="00AF383C" w:rsidRDefault="00AF383C" w:rsidP="00A971BA">
            <w:pPr>
              <w:cnfStyle w:val="000000100000" w:firstRow="0" w:lastRow="0" w:firstColumn="0" w:lastColumn="0" w:oddVBand="0" w:evenVBand="0" w:oddHBand="1" w:evenHBand="0" w:firstRowFirstColumn="0" w:firstRowLastColumn="0" w:lastRowFirstColumn="0" w:lastRowLastColumn="0"/>
              <w:rPr>
                <w:lang w:val="en-US"/>
              </w:rPr>
            </w:pPr>
            <w:r>
              <w:rPr>
                <w:lang w:val="en-US"/>
              </w:rPr>
              <w:t>SHOULD</w:t>
            </w:r>
          </w:p>
        </w:tc>
        <w:tc>
          <w:tcPr>
            <w:tcW w:w="1933" w:type="dxa"/>
          </w:tcPr>
          <w:p w14:paraId="224F69BC" w14:textId="77777777" w:rsidR="00AF383C" w:rsidRPr="009A77C0" w:rsidRDefault="00AF383C" w:rsidP="00A971BA">
            <w:pPr>
              <w:cnfStyle w:val="000000100000" w:firstRow="0" w:lastRow="0" w:firstColumn="0" w:lastColumn="0" w:oddVBand="0" w:evenVBand="0" w:oddHBand="1" w:evenHBand="0" w:firstRowFirstColumn="0" w:firstRowLastColumn="0" w:lastRowFirstColumn="0" w:lastRowLastColumn="0"/>
              <w:rPr>
                <w:lang w:val="en-US"/>
              </w:rPr>
            </w:pPr>
          </w:p>
        </w:tc>
      </w:tr>
      <w:tr w:rsidR="00AF383C" w:rsidRPr="00E02615" w14:paraId="262BDF2B" w14:textId="77777777" w:rsidTr="00AF383C">
        <w:tc>
          <w:tcPr>
            <w:cnfStyle w:val="001000000000" w:firstRow="0" w:lastRow="0" w:firstColumn="1" w:lastColumn="0" w:oddVBand="0" w:evenVBand="0" w:oddHBand="0" w:evenHBand="0" w:firstRowFirstColumn="0" w:firstRowLastColumn="0" w:lastRowFirstColumn="0" w:lastRowLastColumn="0"/>
            <w:tcW w:w="630" w:type="dxa"/>
          </w:tcPr>
          <w:p w14:paraId="6B253BD8" w14:textId="1ACAE0A3" w:rsidR="00AF383C" w:rsidRDefault="00303378" w:rsidP="00A971BA">
            <w:r>
              <w:t>18.</w:t>
            </w:r>
          </w:p>
        </w:tc>
        <w:tc>
          <w:tcPr>
            <w:tcW w:w="6028" w:type="dxa"/>
          </w:tcPr>
          <w:p w14:paraId="0E75C103" w14:textId="3006A6E1" w:rsidR="00AF383C" w:rsidRDefault="00AF383C" w:rsidP="00A971BA">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Planned maintenance should be outside business hours (Central European Time zone)</w:t>
            </w:r>
          </w:p>
        </w:tc>
        <w:tc>
          <w:tcPr>
            <w:tcW w:w="969" w:type="dxa"/>
          </w:tcPr>
          <w:p w14:paraId="567A4729" w14:textId="61EC5AD6" w:rsidR="00AF383C" w:rsidRDefault="00AF383C" w:rsidP="00A971BA">
            <w:pPr>
              <w:cnfStyle w:val="000000000000" w:firstRow="0" w:lastRow="0" w:firstColumn="0" w:lastColumn="0" w:oddVBand="0" w:evenVBand="0" w:oddHBand="0" w:evenHBand="0" w:firstRowFirstColumn="0" w:firstRowLastColumn="0" w:lastRowFirstColumn="0" w:lastRowLastColumn="0"/>
              <w:rPr>
                <w:lang w:val="en-US"/>
              </w:rPr>
            </w:pPr>
            <w:r>
              <w:rPr>
                <w:lang w:val="en-US"/>
              </w:rPr>
              <w:t>SHOULD</w:t>
            </w:r>
          </w:p>
        </w:tc>
        <w:tc>
          <w:tcPr>
            <w:tcW w:w="1933" w:type="dxa"/>
          </w:tcPr>
          <w:p w14:paraId="2C08DD24" w14:textId="77777777" w:rsidR="00AF383C" w:rsidRPr="009A77C0" w:rsidRDefault="00AF383C" w:rsidP="00A971BA">
            <w:pPr>
              <w:cnfStyle w:val="000000000000" w:firstRow="0" w:lastRow="0" w:firstColumn="0" w:lastColumn="0" w:oddVBand="0" w:evenVBand="0" w:oddHBand="0" w:evenHBand="0" w:firstRowFirstColumn="0" w:firstRowLastColumn="0" w:lastRowFirstColumn="0" w:lastRowLastColumn="0"/>
              <w:rPr>
                <w:lang w:val="en-US"/>
              </w:rPr>
            </w:pPr>
          </w:p>
        </w:tc>
      </w:tr>
      <w:tr w:rsidR="00AF383C" w:rsidRPr="00E02615" w14:paraId="70415611" w14:textId="77777777" w:rsidTr="00AF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D6A1773" w14:textId="05B42E5A" w:rsidR="00AF383C" w:rsidRDefault="00303378" w:rsidP="00AF383C">
            <w:r>
              <w:t>19.</w:t>
            </w:r>
          </w:p>
        </w:tc>
        <w:tc>
          <w:tcPr>
            <w:tcW w:w="6028" w:type="dxa"/>
          </w:tcPr>
          <w:p w14:paraId="5A124FCC" w14:textId="0D0F2CF4" w:rsidR="00AF383C" w:rsidRDefault="00AF383C" w:rsidP="00AF383C">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In the case of planned maintenance the Supplier shall notify the Client in writing at least 7 days before the planned maintenance</w:t>
            </w:r>
          </w:p>
        </w:tc>
        <w:tc>
          <w:tcPr>
            <w:tcW w:w="969" w:type="dxa"/>
          </w:tcPr>
          <w:p w14:paraId="0B8C27B8" w14:textId="2BE2BDA2" w:rsidR="00AF383C" w:rsidRDefault="00AF383C" w:rsidP="00AF383C">
            <w:pPr>
              <w:cnfStyle w:val="000000100000" w:firstRow="0" w:lastRow="0" w:firstColumn="0" w:lastColumn="0" w:oddVBand="0" w:evenVBand="0" w:oddHBand="1" w:evenHBand="0" w:firstRowFirstColumn="0" w:firstRowLastColumn="0" w:lastRowFirstColumn="0" w:lastRowLastColumn="0"/>
              <w:rPr>
                <w:lang w:val="en-US"/>
              </w:rPr>
            </w:pPr>
            <w:r>
              <w:rPr>
                <w:lang w:val="en-US"/>
              </w:rPr>
              <w:t>SHOULD</w:t>
            </w:r>
          </w:p>
        </w:tc>
        <w:tc>
          <w:tcPr>
            <w:tcW w:w="1933" w:type="dxa"/>
          </w:tcPr>
          <w:p w14:paraId="1ADC72D2" w14:textId="77777777" w:rsidR="00AF383C" w:rsidRPr="009A77C0" w:rsidRDefault="00AF383C" w:rsidP="00AF383C">
            <w:pPr>
              <w:cnfStyle w:val="000000100000" w:firstRow="0" w:lastRow="0" w:firstColumn="0" w:lastColumn="0" w:oddVBand="0" w:evenVBand="0" w:oddHBand="1" w:evenHBand="0" w:firstRowFirstColumn="0" w:firstRowLastColumn="0" w:lastRowFirstColumn="0" w:lastRowLastColumn="0"/>
              <w:rPr>
                <w:lang w:val="en-US"/>
              </w:rPr>
            </w:pPr>
          </w:p>
        </w:tc>
      </w:tr>
    </w:tbl>
    <w:p w14:paraId="441BFA62" w14:textId="19794166" w:rsidR="00464A24" w:rsidRDefault="00464A24">
      <w:pPr>
        <w:rPr>
          <w:lang w:val="en-US"/>
        </w:rPr>
      </w:pPr>
    </w:p>
    <w:p w14:paraId="5BCEAB83" w14:textId="77777777" w:rsidR="00464A24" w:rsidRDefault="00464A24">
      <w:pPr>
        <w:rPr>
          <w:lang w:val="en-US"/>
        </w:rPr>
      </w:pPr>
      <w:r>
        <w:rPr>
          <w:lang w:val="en-US"/>
        </w:rPr>
        <w:br w:type="page"/>
      </w:r>
    </w:p>
    <w:sectPr w:rsidR="00464A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6C28"/>
    <w:multiLevelType w:val="hybridMultilevel"/>
    <w:tmpl w:val="E8524C26"/>
    <w:lvl w:ilvl="0" w:tplc="E192514A">
      <w:start w:val="1"/>
      <w:numFmt w:val="decimal"/>
      <w:lvlText w:val="%1)"/>
      <w:lvlJc w:val="left"/>
      <w:pPr>
        <w:ind w:left="720" w:hanging="360"/>
      </w:pPr>
    </w:lvl>
    <w:lvl w:ilvl="1" w:tplc="FA66A344">
      <w:start w:val="1"/>
      <w:numFmt w:val="lowerLetter"/>
      <w:lvlText w:val="%2."/>
      <w:lvlJc w:val="left"/>
      <w:pPr>
        <w:ind w:left="1440" w:hanging="360"/>
      </w:pPr>
    </w:lvl>
    <w:lvl w:ilvl="2" w:tplc="0BD89794">
      <w:start w:val="1"/>
      <w:numFmt w:val="lowerRoman"/>
      <w:lvlText w:val="%3."/>
      <w:lvlJc w:val="right"/>
      <w:pPr>
        <w:ind w:left="2160" w:hanging="180"/>
      </w:pPr>
    </w:lvl>
    <w:lvl w:ilvl="3" w:tplc="82440376">
      <w:start w:val="1"/>
      <w:numFmt w:val="decimal"/>
      <w:lvlText w:val="%4."/>
      <w:lvlJc w:val="left"/>
      <w:pPr>
        <w:ind w:left="2880" w:hanging="360"/>
      </w:pPr>
    </w:lvl>
    <w:lvl w:ilvl="4" w:tplc="474C8544">
      <w:start w:val="1"/>
      <w:numFmt w:val="lowerLetter"/>
      <w:lvlText w:val="%5."/>
      <w:lvlJc w:val="left"/>
      <w:pPr>
        <w:ind w:left="3600" w:hanging="360"/>
      </w:pPr>
    </w:lvl>
    <w:lvl w:ilvl="5" w:tplc="1E1EB24A">
      <w:start w:val="1"/>
      <w:numFmt w:val="lowerRoman"/>
      <w:lvlText w:val="%6."/>
      <w:lvlJc w:val="right"/>
      <w:pPr>
        <w:ind w:left="4320" w:hanging="180"/>
      </w:pPr>
    </w:lvl>
    <w:lvl w:ilvl="6" w:tplc="5CF48932">
      <w:start w:val="1"/>
      <w:numFmt w:val="decimal"/>
      <w:lvlText w:val="%7."/>
      <w:lvlJc w:val="left"/>
      <w:pPr>
        <w:ind w:left="5040" w:hanging="360"/>
      </w:pPr>
    </w:lvl>
    <w:lvl w:ilvl="7" w:tplc="A774B336">
      <w:start w:val="1"/>
      <w:numFmt w:val="lowerLetter"/>
      <w:lvlText w:val="%8."/>
      <w:lvlJc w:val="left"/>
      <w:pPr>
        <w:ind w:left="5760" w:hanging="360"/>
      </w:pPr>
    </w:lvl>
    <w:lvl w:ilvl="8" w:tplc="BEF2BA30">
      <w:start w:val="1"/>
      <w:numFmt w:val="lowerRoman"/>
      <w:lvlText w:val="%9."/>
      <w:lvlJc w:val="right"/>
      <w:pPr>
        <w:ind w:left="6480" w:hanging="180"/>
      </w:pPr>
    </w:lvl>
  </w:abstractNum>
  <w:abstractNum w:abstractNumId="1" w15:restartNumberingAfterBreak="0">
    <w:nsid w:val="48C85B45"/>
    <w:multiLevelType w:val="hybridMultilevel"/>
    <w:tmpl w:val="35F20880"/>
    <w:lvl w:ilvl="0" w:tplc="318C485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42722315">
    <w:abstractNumId w:val="1"/>
  </w:num>
  <w:num w:numId="2" w16cid:durableId="186189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BA"/>
    <w:rsid w:val="00014455"/>
    <w:rsid w:val="00015151"/>
    <w:rsid w:val="00020972"/>
    <w:rsid w:val="00032544"/>
    <w:rsid w:val="00075FCB"/>
    <w:rsid w:val="000A0E50"/>
    <w:rsid w:val="000B74E7"/>
    <w:rsid w:val="000D0D2A"/>
    <w:rsid w:val="000D758E"/>
    <w:rsid w:val="000E5B4F"/>
    <w:rsid w:val="000E5D56"/>
    <w:rsid w:val="00163A3B"/>
    <w:rsid w:val="00163D54"/>
    <w:rsid w:val="00165977"/>
    <w:rsid w:val="001A6540"/>
    <w:rsid w:val="001C5FE2"/>
    <w:rsid w:val="001F20E9"/>
    <w:rsid w:val="00217EBF"/>
    <w:rsid w:val="002255AB"/>
    <w:rsid w:val="00266675"/>
    <w:rsid w:val="002718EF"/>
    <w:rsid w:val="002823BE"/>
    <w:rsid w:val="00295FFF"/>
    <w:rsid w:val="002B1E83"/>
    <w:rsid w:val="002C36C6"/>
    <w:rsid w:val="002C6C95"/>
    <w:rsid w:val="002D7872"/>
    <w:rsid w:val="00303378"/>
    <w:rsid w:val="0031262B"/>
    <w:rsid w:val="00321E81"/>
    <w:rsid w:val="0032404E"/>
    <w:rsid w:val="003245CF"/>
    <w:rsid w:val="00367AC3"/>
    <w:rsid w:val="00385617"/>
    <w:rsid w:val="00385E2D"/>
    <w:rsid w:val="003960E2"/>
    <w:rsid w:val="00406D47"/>
    <w:rsid w:val="004164A5"/>
    <w:rsid w:val="00416E3A"/>
    <w:rsid w:val="00422678"/>
    <w:rsid w:val="00454866"/>
    <w:rsid w:val="00464A24"/>
    <w:rsid w:val="004B509F"/>
    <w:rsid w:val="004F1B49"/>
    <w:rsid w:val="00506B13"/>
    <w:rsid w:val="00520042"/>
    <w:rsid w:val="005359B3"/>
    <w:rsid w:val="00570667"/>
    <w:rsid w:val="0063078B"/>
    <w:rsid w:val="006532DA"/>
    <w:rsid w:val="006D6B54"/>
    <w:rsid w:val="006E3822"/>
    <w:rsid w:val="0070027E"/>
    <w:rsid w:val="0070266F"/>
    <w:rsid w:val="007B1732"/>
    <w:rsid w:val="007B3D62"/>
    <w:rsid w:val="007C49FF"/>
    <w:rsid w:val="007D2549"/>
    <w:rsid w:val="007E6CF9"/>
    <w:rsid w:val="0080089D"/>
    <w:rsid w:val="008036B7"/>
    <w:rsid w:val="00850D44"/>
    <w:rsid w:val="008740C0"/>
    <w:rsid w:val="00897E4D"/>
    <w:rsid w:val="008D131F"/>
    <w:rsid w:val="008E0408"/>
    <w:rsid w:val="008F46F1"/>
    <w:rsid w:val="009211BB"/>
    <w:rsid w:val="00973166"/>
    <w:rsid w:val="00975538"/>
    <w:rsid w:val="00976727"/>
    <w:rsid w:val="00992DF6"/>
    <w:rsid w:val="009A468A"/>
    <w:rsid w:val="009A77C0"/>
    <w:rsid w:val="00A0579B"/>
    <w:rsid w:val="00A14367"/>
    <w:rsid w:val="00A16254"/>
    <w:rsid w:val="00A21152"/>
    <w:rsid w:val="00A971BA"/>
    <w:rsid w:val="00AA68E3"/>
    <w:rsid w:val="00AB2489"/>
    <w:rsid w:val="00AC22EC"/>
    <w:rsid w:val="00AE3409"/>
    <w:rsid w:val="00AF383C"/>
    <w:rsid w:val="00AF7ECB"/>
    <w:rsid w:val="00B108C8"/>
    <w:rsid w:val="00B23CFD"/>
    <w:rsid w:val="00B411A9"/>
    <w:rsid w:val="00B6268C"/>
    <w:rsid w:val="00B64DED"/>
    <w:rsid w:val="00B86E3B"/>
    <w:rsid w:val="00C0482C"/>
    <w:rsid w:val="00C07F42"/>
    <w:rsid w:val="00C40C2C"/>
    <w:rsid w:val="00C41B7E"/>
    <w:rsid w:val="00C45895"/>
    <w:rsid w:val="00C5008E"/>
    <w:rsid w:val="00C6171D"/>
    <w:rsid w:val="00C65D75"/>
    <w:rsid w:val="00CB24B3"/>
    <w:rsid w:val="00CD2631"/>
    <w:rsid w:val="00D22A34"/>
    <w:rsid w:val="00D259C4"/>
    <w:rsid w:val="00D42BBD"/>
    <w:rsid w:val="00D50576"/>
    <w:rsid w:val="00D5158B"/>
    <w:rsid w:val="00D56676"/>
    <w:rsid w:val="00D72FCE"/>
    <w:rsid w:val="00D877FD"/>
    <w:rsid w:val="00DB7480"/>
    <w:rsid w:val="00DE2A6A"/>
    <w:rsid w:val="00DF15F4"/>
    <w:rsid w:val="00DF3ED8"/>
    <w:rsid w:val="00DF774F"/>
    <w:rsid w:val="00E02615"/>
    <w:rsid w:val="00E06CF4"/>
    <w:rsid w:val="00E37BBF"/>
    <w:rsid w:val="00E50921"/>
    <w:rsid w:val="00EC4811"/>
    <w:rsid w:val="00EC4E98"/>
    <w:rsid w:val="00EC5AF5"/>
    <w:rsid w:val="00F27A36"/>
    <w:rsid w:val="00F339F2"/>
    <w:rsid w:val="00F36863"/>
    <w:rsid w:val="00F4353D"/>
    <w:rsid w:val="00F515CD"/>
    <w:rsid w:val="00F6742F"/>
    <w:rsid w:val="00FF12BE"/>
    <w:rsid w:val="00FF198D"/>
    <w:rsid w:val="00FF4A9A"/>
    <w:rsid w:val="030A8421"/>
    <w:rsid w:val="05D8B36A"/>
    <w:rsid w:val="07E5E2CA"/>
    <w:rsid w:val="0E55244E"/>
    <w:rsid w:val="0E8C28F6"/>
    <w:rsid w:val="0F27D15E"/>
    <w:rsid w:val="0FF0F4AF"/>
    <w:rsid w:val="1997D6F5"/>
    <w:rsid w:val="210AFBC1"/>
    <w:rsid w:val="2120DE53"/>
    <w:rsid w:val="2A6F6CF8"/>
    <w:rsid w:val="2C2465B6"/>
    <w:rsid w:val="2C493851"/>
    <w:rsid w:val="2DA70DBA"/>
    <w:rsid w:val="2F5C0678"/>
    <w:rsid w:val="32CF3B77"/>
    <w:rsid w:val="4384659A"/>
    <w:rsid w:val="45B70892"/>
    <w:rsid w:val="4AE42EFF"/>
    <w:rsid w:val="4DAC6DB9"/>
    <w:rsid w:val="535FA95E"/>
    <w:rsid w:val="55251EEE"/>
    <w:rsid w:val="56C0EF4F"/>
    <w:rsid w:val="578EA4A9"/>
    <w:rsid w:val="57ACC4BC"/>
    <w:rsid w:val="5DF30D2E"/>
    <w:rsid w:val="5E4E9696"/>
    <w:rsid w:val="66D71319"/>
    <w:rsid w:val="675222C1"/>
    <w:rsid w:val="676B6297"/>
    <w:rsid w:val="6E9CC6D7"/>
    <w:rsid w:val="73E72BE7"/>
    <w:rsid w:val="76D98326"/>
    <w:rsid w:val="7FF64F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0B77"/>
  <w15:chartTrackingRefBased/>
  <w15:docId w15:val="{9DE8409B-901E-43A7-BCA0-C03596E9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E7"/>
  </w:style>
  <w:style w:type="paragraph" w:styleId="Overskrift1">
    <w:name w:val="heading 1"/>
    <w:basedOn w:val="Normal"/>
    <w:next w:val="Normal"/>
    <w:link w:val="Overskrift1Tegn"/>
    <w:uiPriority w:val="9"/>
    <w:qFormat/>
    <w:rsid w:val="00271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92D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9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D0D2A"/>
    <w:pPr>
      <w:ind w:left="720"/>
      <w:contextualSpacing/>
    </w:pPr>
  </w:style>
  <w:style w:type="table" w:styleId="Gittertabel5-mrk-farve6">
    <w:name w:val="Grid Table 5 Dark Accent 6"/>
    <w:basedOn w:val="Tabel-Normal"/>
    <w:uiPriority w:val="50"/>
    <w:rsid w:val="000B74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Overskrift1Tegn">
    <w:name w:val="Overskrift 1 Tegn"/>
    <w:basedOn w:val="Standardskrifttypeiafsnit"/>
    <w:link w:val="Overskrift1"/>
    <w:uiPriority w:val="9"/>
    <w:rsid w:val="002718E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92DF6"/>
    <w:rPr>
      <w:rFonts w:asciiTheme="majorHAnsi" w:eastAsiaTheme="majorEastAsia" w:hAnsiTheme="majorHAnsi" w:cstheme="majorBidi"/>
      <w:color w:val="2F5496" w:themeColor="accent1" w:themeShade="BF"/>
      <w:sz w:val="26"/>
      <w:szCs w:val="26"/>
    </w:rPr>
  </w:style>
  <w:style w:type="character" w:styleId="Kommentarhenvisning">
    <w:name w:val="annotation reference"/>
    <w:basedOn w:val="Standardskrifttypeiafsnit"/>
    <w:semiHidden/>
    <w:unhideWhenUsed/>
    <w:rsid w:val="0080089D"/>
    <w:rPr>
      <w:sz w:val="16"/>
      <w:szCs w:val="16"/>
    </w:rPr>
  </w:style>
  <w:style w:type="paragraph" w:styleId="Kommentartekst">
    <w:name w:val="annotation text"/>
    <w:basedOn w:val="Normal"/>
    <w:link w:val="KommentartekstTegn"/>
    <w:unhideWhenUsed/>
    <w:rsid w:val="0080089D"/>
    <w:pPr>
      <w:spacing w:line="240" w:lineRule="auto"/>
    </w:pPr>
    <w:rPr>
      <w:sz w:val="20"/>
      <w:szCs w:val="20"/>
    </w:rPr>
  </w:style>
  <w:style w:type="character" w:customStyle="1" w:styleId="KommentartekstTegn">
    <w:name w:val="Kommentartekst Tegn"/>
    <w:basedOn w:val="Standardskrifttypeiafsnit"/>
    <w:link w:val="Kommentartekst"/>
    <w:rsid w:val="0080089D"/>
    <w:rPr>
      <w:sz w:val="20"/>
      <w:szCs w:val="20"/>
    </w:rPr>
  </w:style>
  <w:style w:type="paragraph" w:styleId="Kommentaremne">
    <w:name w:val="annotation subject"/>
    <w:basedOn w:val="Kommentartekst"/>
    <w:next w:val="Kommentartekst"/>
    <w:link w:val="KommentaremneTegn"/>
    <w:uiPriority w:val="99"/>
    <w:semiHidden/>
    <w:unhideWhenUsed/>
    <w:rsid w:val="0080089D"/>
    <w:rPr>
      <w:b/>
      <w:bCs/>
    </w:rPr>
  </w:style>
  <w:style w:type="character" w:customStyle="1" w:styleId="KommentaremneTegn">
    <w:name w:val="Kommentaremne Tegn"/>
    <w:basedOn w:val="KommentartekstTegn"/>
    <w:link w:val="Kommentaremne"/>
    <w:uiPriority w:val="99"/>
    <w:semiHidden/>
    <w:rsid w:val="0080089D"/>
    <w:rPr>
      <w:b/>
      <w:bCs/>
      <w:sz w:val="20"/>
      <w:szCs w:val="20"/>
    </w:rPr>
  </w:style>
  <w:style w:type="character" w:styleId="Strk">
    <w:name w:val="Strong"/>
    <w:basedOn w:val="Standardskrifttypeiafsnit"/>
    <w:uiPriority w:val="22"/>
    <w:qFormat/>
    <w:rsid w:val="00570667"/>
    <w:rPr>
      <w:b/>
      <w:bCs/>
    </w:rPr>
  </w:style>
  <w:style w:type="character" w:styleId="Hyperlink">
    <w:name w:val="Hyperlink"/>
    <w:basedOn w:val="Standardskrifttypeiafsnit"/>
    <w:uiPriority w:val="99"/>
    <w:unhideWhenUsed/>
    <w:rsid w:val="000A0E50"/>
    <w:rPr>
      <w:color w:val="0563C1" w:themeColor="hyperlink"/>
      <w:u w:val="single"/>
    </w:rPr>
  </w:style>
  <w:style w:type="character" w:styleId="Ulstomtale">
    <w:name w:val="Unresolved Mention"/>
    <w:basedOn w:val="Standardskrifttypeiafsnit"/>
    <w:uiPriority w:val="99"/>
    <w:semiHidden/>
    <w:unhideWhenUsed/>
    <w:rsid w:val="000A0E50"/>
    <w:rPr>
      <w:color w:val="605E5C"/>
      <w:shd w:val="clear" w:color="auto" w:fill="E1DFDD"/>
    </w:rPr>
  </w:style>
  <w:style w:type="paragraph" w:styleId="FormateretHTML">
    <w:name w:val="HTML Preformatted"/>
    <w:basedOn w:val="Normal"/>
    <w:link w:val="FormateretHTMLTegn"/>
    <w:uiPriority w:val="99"/>
    <w:semiHidden/>
    <w:unhideWhenUsed/>
    <w:rsid w:val="0022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da-DK"/>
      <w14:ligatures w14:val="none"/>
    </w:rPr>
  </w:style>
  <w:style w:type="character" w:customStyle="1" w:styleId="FormateretHTMLTegn">
    <w:name w:val="Formateret HTML Tegn"/>
    <w:basedOn w:val="Standardskrifttypeiafsnit"/>
    <w:link w:val="FormateretHTML"/>
    <w:uiPriority w:val="99"/>
    <w:semiHidden/>
    <w:rsid w:val="002255AB"/>
    <w:rPr>
      <w:rFonts w:ascii="Courier New" w:eastAsia="Times New Roman" w:hAnsi="Courier New" w:cs="Courier New"/>
      <w:kern w:val="0"/>
      <w:sz w:val="20"/>
      <w:szCs w:val="20"/>
      <w:lang w:eastAsia="da-DK"/>
      <w14:ligatures w14:val="none"/>
    </w:rPr>
  </w:style>
  <w:style w:type="character" w:customStyle="1" w:styleId="y2iqfc">
    <w:name w:val="y2iqfc"/>
    <w:basedOn w:val="Standardskrifttypeiafsnit"/>
    <w:rsid w:val="0022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8" ma:contentTypeDescription="Opret et nyt dokument." ma:contentTypeScope="" ma:versionID="e13038188c43a451ae9662c68d07bd17">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c4b71fbd4d34c69dc3765bed209ce4ac"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bbe7c16-6d61-4ab5-a057-6d1a67339d84}"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30CDC-CD08-4EEC-97AE-41185232F4E6}">
  <ds:schemaRefs>
    <ds:schemaRef ds:uri="http://schemas.microsoft.com/sharepoint/v3/contenttype/forms"/>
  </ds:schemaRefs>
</ds:datastoreItem>
</file>

<file path=customXml/itemProps2.xml><?xml version="1.0" encoding="utf-8"?>
<ds:datastoreItem xmlns:ds="http://schemas.openxmlformats.org/officeDocument/2006/customXml" ds:itemID="{360DC518-BBAE-4992-B960-C2332E56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8f06c-1694-489f-9cdc-5efa500d75a8"/>
    <ds:schemaRef ds:uri="31f27a57-5daa-4240-845d-578cc8bdd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740</Words>
  <Characters>3904</Characters>
  <Application>Microsoft Office Word</Application>
  <DocSecurity>0</DocSecurity>
  <Lines>150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Links>
    <vt:vector size="6" baseType="variant">
      <vt:variant>
        <vt:i4>7405665</vt:i4>
      </vt:variant>
      <vt:variant>
        <vt:i4>34</vt:i4>
      </vt:variant>
      <vt:variant>
        <vt:i4>0</vt:i4>
      </vt:variant>
      <vt:variant>
        <vt:i4>5</vt:i4>
      </vt:variant>
      <vt:variant>
        <vt:lpwstr>https://eur-lex.europa.eu/legal-content/EN/ALL/?uri=celex%3A32002L0058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la Cour</dc:creator>
  <cp:keywords/>
  <dc:description/>
  <cp:lastModifiedBy>Birgitte Kjærgaard</cp:lastModifiedBy>
  <cp:revision>20</cp:revision>
  <dcterms:created xsi:type="dcterms:W3CDTF">2024-03-20T07:27:00Z</dcterms:created>
  <dcterms:modified xsi:type="dcterms:W3CDTF">2024-03-21T08:39:00Z</dcterms:modified>
</cp:coreProperties>
</file>